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Pr="004A40CD" w:rsidRDefault="00914A8E">
      <w:pPr>
        <w:rPr>
          <w:rFonts w:cs="Calibri"/>
          <w:sz w:val="20"/>
          <w:szCs w:val="20"/>
        </w:rPr>
      </w:pPr>
      <w:bookmarkStart w:id="0" w:name="_GoBack"/>
      <w:bookmarkEnd w:id="0"/>
      <w:r w:rsidRPr="004A40CD">
        <w:rPr>
          <w:rFonts w:cs="Calibri"/>
          <w:sz w:val="20"/>
          <w:szCs w:val="20"/>
        </w:rPr>
        <w:t>Kdg Reading</w:t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***Add “with prompting and support” in the </w:t>
      </w:r>
      <w:proofErr w:type="spellStart"/>
      <w:r w:rsidR="007069B9" w:rsidRPr="004A40CD">
        <w:rPr>
          <w:rFonts w:cs="Calibri"/>
          <w:color w:val="FF0000"/>
          <w:sz w:val="20"/>
          <w:szCs w:val="20"/>
          <w:u w:val="single"/>
        </w:rPr>
        <w:t>ppr</w:t>
      </w:r>
      <w:proofErr w:type="spellEnd"/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 jacket for Kindergarten!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3420"/>
        <w:gridCol w:w="3654"/>
        <w:gridCol w:w="3654"/>
      </w:tblGrid>
      <w:tr w:rsidR="00202FE9" w:rsidRPr="004A40CD" w:rsidTr="008C7DE6">
        <w:tc>
          <w:tcPr>
            <w:tcW w:w="3888" w:type="dxa"/>
          </w:tcPr>
          <w:p w:rsidR="00202FE9" w:rsidRPr="00202FE9" w:rsidRDefault="00202FE9" w:rsidP="00202FE9">
            <w:pPr>
              <w:spacing w:after="0" w:line="240" w:lineRule="auto"/>
              <w:rPr>
                <w:rFonts w:cs="Calibri"/>
                <w:color w:val="FF0000"/>
              </w:rPr>
            </w:pPr>
            <w:r w:rsidRPr="00202FE9">
              <w:rPr>
                <w:rFonts w:cs="Calibri"/>
                <w:color w:val="FF0000"/>
              </w:rPr>
              <w:t>Reading Standards for Literature</w:t>
            </w:r>
          </w:p>
        </w:tc>
        <w:tc>
          <w:tcPr>
            <w:tcW w:w="3420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tabs>
                <w:tab w:val="center" w:pos="1719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00B0F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202FE9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Narrative Text </w:t>
            </w:r>
            <w:r w:rsidR="008A350A" w:rsidRPr="00202FE9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="008A350A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8A350A" w:rsidRPr="004A40CD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Benchmarks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retell familiar stories, including key details.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Retells a story with prompting and support.</w:t>
            </w:r>
          </w:p>
        </w:tc>
        <w:tc>
          <w:tcPr>
            <w:tcW w:w="3654" w:type="dxa"/>
          </w:tcPr>
          <w:p w:rsidR="008D37B0" w:rsidRPr="004A40CD" w:rsidRDefault="006E3C7B" w:rsidP="008D37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Retelling Rubric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identify characters, settings, and major events in a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Identifies characters, setting, and major events in a story with prompting and support.</w:t>
            </w:r>
          </w:p>
        </w:tc>
        <w:tc>
          <w:tcPr>
            <w:tcW w:w="3654" w:type="dxa"/>
          </w:tcPr>
          <w:p w:rsidR="008A350A" w:rsidRPr="004A40CD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Retelling Rubric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</w:t>
            </w:r>
            <w:r w:rsidRPr="00002CFC">
              <w:rPr>
                <w:sz w:val="20"/>
                <w:szCs w:val="20"/>
              </w:rPr>
              <w:t xml:space="preserve">eveloping an understanding of the reading process, strategies, and skills including </w:t>
            </w:r>
            <w:r>
              <w:rPr>
                <w:sz w:val="20"/>
                <w:szCs w:val="20"/>
              </w:rPr>
              <w:t>making connections, qu</w:t>
            </w:r>
            <w:r w:rsidRPr="00002CFC">
              <w:rPr>
                <w:sz w:val="20"/>
                <w:szCs w:val="20"/>
              </w:rPr>
              <w:t xml:space="preserve">estioning, </w:t>
            </w:r>
            <w:r>
              <w:rPr>
                <w:sz w:val="20"/>
                <w:szCs w:val="20"/>
              </w:rPr>
              <w:t>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 with prompting and support.</w:t>
            </w:r>
          </w:p>
        </w:tc>
        <w:tc>
          <w:tcPr>
            <w:tcW w:w="3654" w:type="dxa"/>
          </w:tcPr>
          <w:p w:rsidR="008A350A" w:rsidRPr="004A40CD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Benchmarks, Anecdotal Records, BTL Graphic Organizers, F&amp;P p 394-395 Guide for Observing and Noting Reading Behaviors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Ask and answer questions about unknown words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unknown words in a text.</w:t>
            </w:r>
          </w:p>
        </w:tc>
        <w:tc>
          <w:tcPr>
            <w:tcW w:w="3654" w:type="dxa"/>
          </w:tcPr>
          <w:p w:rsidR="00440B21" w:rsidRPr="00440B21" w:rsidRDefault="00DB2D37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sz w:val="20"/>
                <w:szCs w:val="20"/>
              </w:rPr>
              <w:t>Anecdotal Records during small group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Recognize common types of texts (e.g., storybooks, poems).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Recognize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common types of texts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storybooks, poems).</w:t>
            </w:r>
          </w:p>
          <w:p w:rsidR="000564C4" w:rsidRDefault="000564C4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>
              <w:rPr>
                <w:rFonts w:eastAsia="MS PGothic" w:cs="Calibri"/>
                <w:bCs/>
                <w:sz w:val="20"/>
                <w:szCs w:val="20"/>
              </w:rPr>
              <w:t>Cross curricular discussion of fiction/nonfiction books</w:t>
            </w:r>
          </w:p>
          <w:p w:rsidR="00440B21" w:rsidRDefault="00440B21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checklists (consistent)</w:t>
            </w:r>
          </w:p>
          <w:p w:rsidR="002F168E" w:rsidRDefault="002F168E" w:rsidP="002F168E">
            <w:pPr>
              <w:pStyle w:val="NoSpacing"/>
            </w:pPr>
            <w:r>
              <w:t>Students read two texts on the topic of pancakes (</w:t>
            </w:r>
            <w:proofErr w:type="spellStart"/>
            <w:r>
              <w:t>Tomie</w:t>
            </w:r>
            <w:proofErr w:type="spellEnd"/>
            <w:r>
              <w:t xml:space="preserve"> </w:t>
            </w:r>
            <w:proofErr w:type="spellStart"/>
            <w:r>
              <w:t>DePaola’s</w:t>
            </w:r>
            <w:proofErr w:type="spellEnd"/>
            <w:r>
              <w:t xml:space="preserve"> Pancakes for Breakfast and Christina </w:t>
            </w:r>
          </w:p>
          <w:p w:rsidR="002F168E" w:rsidRDefault="002F168E" w:rsidP="002F168E">
            <w:pPr>
              <w:pStyle w:val="NoSpacing"/>
            </w:pPr>
            <w:r>
              <w:t xml:space="preserve">Rossetti’s “Mix a Pancake”) and distinguish between the text that is a storybook and the text that is a poem. </w:t>
            </w:r>
          </w:p>
          <w:p w:rsidR="002F168E" w:rsidRDefault="002F168E" w:rsidP="002F168E">
            <w:pPr>
              <w:pStyle w:val="NoSpacing"/>
            </w:pPr>
            <w:r>
              <w:t>[RL.K.5]</w:t>
            </w:r>
          </w:p>
          <w:p w:rsidR="002F168E" w:rsidRPr="004A40CD" w:rsidRDefault="002F168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With prompting and support, name the author and illustrator of a story and define the role of each in telling the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Name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author and illustrator of a story and define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role of each with prompting and support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4D2B3E" w:rsidRPr="006E3C7B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E3C7B">
              <w:rPr>
                <w:rFonts w:cs="Calibri"/>
                <w:sz w:val="20"/>
                <w:szCs w:val="20"/>
              </w:rPr>
              <w:t>Anecdotal Records during small group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.7. With prompting and support, describe the relationship between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illustrations and the story in which they appear (e.g., what moment in a story an illustration depicts).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Describe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relationship between illustrations and the story with </w:t>
            </w:r>
            <w:r w:rsidRPr="00002CFC">
              <w:rPr>
                <w:sz w:val="20"/>
                <w:szCs w:val="20"/>
              </w:rPr>
              <w:lastRenderedPageBreak/>
              <w:t>prompting and support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0564C4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Using BAW rubric (WR)</w:t>
            </w:r>
          </w:p>
          <w:p w:rsidR="0089770F" w:rsidRDefault="0089770F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lastRenderedPageBreak/>
              <w:t>Teacher created observation checklist (consistent) based on VENN diagram</w:t>
            </w:r>
          </w:p>
          <w:p w:rsidR="002F168E" w:rsidRDefault="002F168E" w:rsidP="002F168E">
            <w:pPr>
              <w:pStyle w:val="NoSpacing"/>
            </w:pPr>
            <w:r>
              <w:t xml:space="preserve">Students (with prompting and support from the teacher) describe the relationship between key events of the </w:t>
            </w:r>
          </w:p>
          <w:p w:rsidR="002F168E" w:rsidRDefault="002F168E" w:rsidP="002F168E">
            <w:pPr>
              <w:pStyle w:val="NoSpacing"/>
            </w:pPr>
            <w:proofErr w:type="gramStart"/>
            <w:r>
              <w:t>overall</w:t>
            </w:r>
            <w:proofErr w:type="gramEnd"/>
            <w:r>
              <w:t xml:space="preserve"> story of Little Bear by Else </w:t>
            </w:r>
            <w:proofErr w:type="spellStart"/>
            <w:r>
              <w:t>Holmelund</w:t>
            </w:r>
            <w:proofErr w:type="spellEnd"/>
            <w:r>
              <w:t xml:space="preserve"> </w:t>
            </w:r>
            <w:proofErr w:type="spellStart"/>
            <w:r>
              <w:t>Minarik</w:t>
            </w:r>
            <w:proofErr w:type="spellEnd"/>
            <w:r>
              <w:t xml:space="preserve"> to the corresponding scenes illustrated by Maurice </w:t>
            </w:r>
            <w:proofErr w:type="spellStart"/>
            <w:r>
              <w:t>Sendak</w:t>
            </w:r>
            <w:proofErr w:type="spellEnd"/>
            <w:r>
              <w:t>. [RL.K.7]</w:t>
            </w:r>
          </w:p>
          <w:p w:rsidR="002F168E" w:rsidRPr="0089770F" w:rsidRDefault="002F168E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 8. (Not applicable to literature)</w:t>
            </w:r>
          </w:p>
        </w:tc>
        <w:tc>
          <w:tcPr>
            <w:tcW w:w="3420" w:type="dxa"/>
          </w:tcPr>
          <w:p w:rsidR="008A350A" w:rsidRPr="00002CFC" w:rsidRDefault="00903C85" w:rsidP="007E0E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8A350A" w:rsidRPr="004A40CD" w:rsidRDefault="00903C85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8A350A" w:rsidRPr="00903C85" w:rsidRDefault="00903C85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03C85">
              <w:rPr>
                <w:rFonts w:cs="Calibri"/>
                <w:sz w:val="20"/>
                <w:szCs w:val="20"/>
              </w:rPr>
              <w:t>---</w:t>
            </w: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.9. With prompting and support, compare and contrast the adventures and experiences of characters in familiar stories.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familiar stories with prompting and support.</w:t>
            </w:r>
          </w:p>
        </w:tc>
        <w:tc>
          <w:tcPr>
            <w:tcW w:w="3654" w:type="dxa"/>
          </w:tcPr>
          <w:p w:rsidR="0089770F" w:rsidRDefault="0089770F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  <w:p w:rsidR="002F168E" w:rsidRDefault="002F168E" w:rsidP="002F168E">
            <w:pPr>
              <w:pStyle w:val="NoSpacing"/>
            </w:pPr>
            <w:r>
              <w:t xml:space="preserve">Students (with prompting and support from the teacher) compare and contrast the adventures and experiences of the owl in Arnold </w:t>
            </w:r>
            <w:proofErr w:type="spellStart"/>
            <w:r>
              <w:t>Lobel’s</w:t>
            </w:r>
            <w:proofErr w:type="spellEnd"/>
            <w:r>
              <w:t xml:space="preserve"> Owl at Home to those of the owl in Edward Lear’s poem “The Owl and the </w:t>
            </w:r>
          </w:p>
          <w:p w:rsidR="002F168E" w:rsidRDefault="002F168E" w:rsidP="002F168E">
            <w:pPr>
              <w:pStyle w:val="NoSpacing"/>
            </w:pPr>
            <w:r>
              <w:t>Pussycat.” [RL.K.9]</w:t>
            </w:r>
          </w:p>
          <w:p w:rsidR="002F168E" w:rsidRPr="004A40CD" w:rsidRDefault="002F168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CB3B88" w:rsidRDefault="008C7DE6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AB6E47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understanding.</w:t>
            </w:r>
          </w:p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</w:p>
          <w:p w:rsidR="00810DAC" w:rsidRPr="004A40CD" w:rsidRDefault="00D83D37" w:rsidP="00D83D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Enjoys reading.</w:t>
            </w:r>
          </w:p>
        </w:tc>
        <w:tc>
          <w:tcPr>
            <w:tcW w:w="3654" w:type="dxa"/>
          </w:tcPr>
          <w:p w:rsidR="00810DAC" w:rsidRPr="004A40CD" w:rsidRDefault="006E3C7B" w:rsidP="00E448E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AB6E47" w:rsidRDefault="00AB6E47" w:rsidP="00914A8E">
            <w:pPr>
              <w:spacing w:after="0" w:line="240" w:lineRule="auto"/>
              <w:rPr>
                <w:rFonts w:cs="Calibri"/>
                <w:color w:val="FF0000"/>
                <w:spacing w:val="-2"/>
              </w:rPr>
            </w:pPr>
            <w:r w:rsidRPr="00AB6E47">
              <w:rPr>
                <w:rFonts w:cs="Calibri"/>
                <w:color w:val="FF0000"/>
                <w:spacing w:val="-2"/>
              </w:rPr>
              <w:t xml:space="preserve">Reading Standards for </w:t>
            </w:r>
            <w:r w:rsidR="00810DAC" w:rsidRPr="00AB6E47">
              <w:rPr>
                <w:rFonts w:cs="Calibri"/>
                <w:color w:val="FF0000"/>
                <w:spacing w:val="-2"/>
              </w:rPr>
              <w:t>Informational Text</w:t>
            </w:r>
          </w:p>
        </w:tc>
        <w:tc>
          <w:tcPr>
            <w:tcW w:w="3420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E76FB0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Information Text </w:t>
            </w:r>
            <w:r w:rsidR="00AB6E47"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="00AB6E47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AB6E47" w:rsidRPr="006E3C7B" w:rsidRDefault="00CC0C13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E3C7B">
              <w:rPr>
                <w:rFonts w:cs="Calibri"/>
                <w:sz w:val="20"/>
                <w:szCs w:val="20"/>
              </w:rPr>
              <w:t>Benchmarking</w:t>
            </w:r>
            <w:r w:rsidR="006E3C7B" w:rsidRPr="006E3C7B">
              <w:rPr>
                <w:rFonts w:cs="Calibri"/>
                <w:sz w:val="20"/>
                <w:szCs w:val="20"/>
              </w:rPr>
              <w:t xml:space="preserve"> Guide for Observing &amp; Noting Reading Behavior F&amp;P kit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identify the main topic and retell key details of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main topic and retells key details of a text with prompting and support.</w:t>
            </w:r>
          </w:p>
        </w:tc>
        <w:tc>
          <w:tcPr>
            <w:tcW w:w="3654" w:type="dxa"/>
          </w:tcPr>
          <w:p w:rsidR="00AB6E47" w:rsidRDefault="00CC0C13" w:rsidP="006E3C7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E3C7B">
              <w:rPr>
                <w:rFonts w:cs="Calibri"/>
                <w:sz w:val="20"/>
                <w:szCs w:val="20"/>
              </w:rPr>
              <w:t xml:space="preserve">Benchmarking </w:t>
            </w:r>
            <w:r w:rsidR="006E3C7B" w:rsidRPr="006E3C7B">
              <w:rPr>
                <w:rFonts w:cs="Calibri"/>
                <w:sz w:val="20"/>
                <w:szCs w:val="20"/>
              </w:rPr>
              <w:t>Nonfiction Retelling Rubric</w:t>
            </w:r>
          </w:p>
          <w:p w:rsidR="002F168E" w:rsidRDefault="002F168E" w:rsidP="002F168E">
            <w:pPr>
              <w:pStyle w:val="NoSpacing"/>
            </w:pPr>
            <w:r>
              <w:t xml:space="preserve">Students (with prompting and support from the teacher) read “Garden Helpers” in National Geographic Young </w:t>
            </w:r>
          </w:p>
          <w:p w:rsidR="002F168E" w:rsidRDefault="002F168E" w:rsidP="002F168E">
            <w:pPr>
              <w:pStyle w:val="NoSpacing"/>
            </w:pPr>
            <w:r>
              <w:t xml:space="preserve">Explorers and demonstrate their </w:t>
            </w:r>
            <w:r>
              <w:lastRenderedPageBreak/>
              <w:t xml:space="preserve">understanding of the main idea of the text—not all bugs are bad—by retelling </w:t>
            </w:r>
          </w:p>
          <w:p w:rsidR="002F168E" w:rsidRDefault="002F168E" w:rsidP="002F168E">
            <w:pPr>
              <w:pStyle w:val="NoSpacing"/>
            </w:pPr>
            <w:proofErr w:type="gramStart"/>
            <w:r>
              <w:t>key</w:t>
            </w:r>
            <w:proofErr w:type="gramEnd"/>
            <w:r>
              <w:t xml:space="preserve"> details. [RI.K.2]</w:t>
            </w:r>
          </w:p>
          <w:p w:rsidR="002F168E" w:rsidRPr="006E3C7B" w:rsidRDefault="002F168E" w:rsidP="006E3C7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describe the connection between two individuals, events, ideas, or pieces of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Describes the connection between two individuals, events, ideas, or pieces of information in a text with prompting and support.</w:t>
            </w:r>
          </w:p>
        </w:tc>
        <w:tc>
          <w:tcPr>
            <w:tcW w:w="3654" w:type="dxa"/>
          </w:tcPr>
          <w:p w:rsidR="00AB6E47" w:rsidRDefault="00CC0C13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</w:t>
            </w:r>
          </w:p>
          <w:p w:rsidR="002F168E" w:rsidRDefault="002F168E" w:rsidP="002F168E">
            <w:pPr>
              <w:pStyle w:val="NoSpacing"/>
            </w:pPr>
            <w:r>
              <w:t xml:space="preserve">Students (with prompting and support from the teacher) describe the connection between drag and flying </w:t>
            </w:r>
          </w:p>
          <w:p w:rsidR="002F168E" w:rsidRDefault="002F168E" w:rsidP="002F168E">
            <w:pPr>
              <w:pStyle w:val="NoSpacing"/>
            </w:pPr>
            <w:r>
              <w:t xml:space="preserve">in Fran </w:t>
            </w:r>
            <w:proofErr w:type="spellStart"/>
            <w:r>
              <w:t>Hodgkins</w:t>
            </w:r>
            <w:proofErr w:type="spellEnd"/>
            <w:r>
              <w:t xml:space="preserve"> and True Kelley’s How People Learned to Fly by performing the “arm spinning” experiment </w:t>
            </w:r>
          </w:p>
          <w:p w:rsidR="002F168E" w:rsidRDefault="002F168E" w:rsidP="002F168E">
            <w:pPr>
              <w:pStyle w:val="NoSpacing"/>
            </w:pPr>
            <w:proofErr w:type="gramStart"/>
            <w:r>
              <w:t>described</w:t>
            </w:r>
            <w:proofErr w:type="gramEnd"/>
            <w:r>
              <w:t xml:space="preserve"> in the text. [RI.K.3]</w:t>
            </w:r>
          </w:p>
          <w:p w:rsidR="002F168E" w:rsidRPr="004A40CD" w:rsidRDefault="002F168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Is developing an understanding of the reading process, strategies, and skills including making connections, questioning, visualization, making inferences, determining importance, and synthesizing with prompting and support.</w:t>
            </w:r>
          </w:p>
        </w:tc>
        <w:tc>
          <w:tcPr>
            <w:tcW w:w="3654" w:type="dxa"/>
          </w:tcPr>
          <w:p w:rsidR="00AB6E47" w:rsidRDefault="00CC0C13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</w:t>
            </w:r>
          </w:p>
          <w:p w:rsidR="002F168E" w:rsidRDefault="002F168E" w:rsidP="002F168E">
            <w:pPr>
              <w:pStyle w:val="NoSpacing"/>
            </w:pPr>
            <w:r>
              <w:t xml:space="preserve">Students ask and answer questions about animals (e.g., hyena, alligator, platypus, scorpion) they encounter in </w:t>
            </w:r>
          </w:p>
          <w:p w:rsidR="002F168E" w:rsidRDefault="002F168E" w:rsidP="002F168E">
            <w:pPr>
              <w:pStyle w:val="NoSpacing"/>
            </w:pPr>
            <w:r>
              <w:t>Steve Jenkins and Robin Page’s What Do You Do With a Tail Like This? [RI.K.4]</w:t>
            </w:r>
          </w:p>
          <w:p w:rsidR="002F168E" w:rsidRPr="004A40CD" w:rsidRDefault="002F168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With prompting and support, ask and answer questions about unknown words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to clarify the meaning of content area vocabulary with prompting and support.</w:t>
            </w:r>
          </w:p>
        </w:tc>
        <w:tc>
          <w:tcPr>
            <w:tcW w:w="3654" w:type="dxa"/>
          </w:tcPr>
          <w:p w:rsidR="00AB6E47" w:rsidRPr="00440B21" w:rsidRDefault="006E3C7B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Anecdotal Records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Identify the front cover, back cover, and title page of a book.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front cover, back cover, and title page of a book.</w:t>
            </w:r>
          </w:p>
        </w:tc>
        <w:tc>
          <w:tcPr>
            <w:tcW w:w="3654" w:type="dxa"/>
          </w:tcPr>
          <w:p w:rsidR="00AB6E47" w:rsidRDefault="004D2B3E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Concepts of Print</w:t>
            </w:r>
          </w:p>
          <w:p w:rsidR="004D2B3E" w:rsidRPr="004D2B3E" w:rsidRDefault="004D2B3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Name the author and illustrator of a text and define the role of each in presenting the ideas or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Names the author and illustrator of a text and defines the role of each with prompting and support.</w:t>
            </w:r>
          </w:p>
        </w:tc>
        <w:tc>
          <w:tcPr>
            <w:tcW w:w="3654" w:type="dxa"/>
          </w:tcPr>
          <w:p w:rsidR="00AB6E47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Add question to retelling</w:t>
            </w:r>
          </w:p>
          <w:p w:rsidR="002F168E" w:rsidRDefault="002F168E" w:rsidP="002F168E">
            <w:pPr>
              <w:pStyle w:val="NoSpacing"/>
            </w:pPr>
            <w:r>
              <w:t xml:space="preserve">Students identify Edith </w:t>
            </w:r>
            <w:proofErr w:type="spellStart"/>
            <w:r>
              <w:t>Thacher</w:t>
            </w:r>
            <w:proofErr w:type="spellEnd"/>
            <w:r>
              <w:t xml:space="preserve"> </w:t>
            </w:r>
            <w:proofErr w:type="spellStart"/>
            <w:r>
              <w:t>Hurd</w:t>
            </w:r>
            <w:proofErr w:type="spellEnd"/>
            <w:r>
              <w:t xml:space="preserve"> as the author of Starfish and Robin Brickman as the illustrator of the text </w:t>
            </w:r>
          </w:p>
          <w:p w:rsidR="002F168E" w:rsidRDefault="002F168E" w:rsidP="002F168E">
            <w:pPr>
              <w:pStyle w:val="NoSpacing"/>
            </w:pPr>
            <w:proofErr w:type="gramStart"/>
            <w:r>
              <w:t>and</w:t>
            </w:r>
            <w:proofErr w:type="gramEnd"/>
            <w:r>
              <w:t xml:space="preserve"> define the role and materials each contributes to the text. [RI.K.6]</w:t>
            </w:r>
          </w:p>
          <w:p w:rsidR="002F168E" w:rsidRPr="004A40CD" w:rsidRDefault="002F168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.7. With prompting and support, describe the relationship between illustrations and the text in which they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appear (e.g., what person, place, thing, or idea in the text an illustration depicts).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lastRenderedPageBreak/>
              <w:t>Describes the relationship between illustrations and the text with prompting and support.</w:t>
            </w:r>
          </w:p>
        </w:tc>
        <w:tc>
          <w:tcPr>
            <w:tcW w:w="3654" w:type="dxa"/>
          </w:tcPr>
          <w:p w:rsidR="00AB6E47" w:rsidRDefault="00AB6E47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what person, place, thing, or idea in the text an illustration depicts).</w:t>
            </w:r>
          </w:p>
          <w:p w:rsidR="005A0A28" w:rsidRPr="005A0A28" w:rsidRDefault="005A0A28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.8. With prompting and support, identify the reasons an author gives to support points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author’s point of view with prompting and support.</w:t>
            </w:r>
          </w:p>
        </w:tc>
        <w:tc>
          <w:tcPr>
            <w:tcW w:w="3654" w:type="dxa"/>
          </w:tcPr>
          <w:p w:rsidR="005A0A28" w:rsidRPr="004A40CD" w:rsidRDefault="005A0A28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60046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.9. With prompting and support, identify basic similarities in and differences between two texts on the same topic (e.g., in illustrations, descriptions, or procedures).</w:t>
            </w: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basic similarities and differences between two texts on the same topic with prompting and support.</w:t>
            </w:r>
          </w:p>
        </w:tc>
        <w:tc>
          <w:tcPr>
            <w:tcW w:w="3654" w:type="dxa"/>
          </w:tcPr>
          <w:p w:rsidR="00AB6E47" w:rsidRPr="004A40CD" w:rsidRDefault="005A0A28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F1276C" w:rsidRDefault="00AB6E47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AB6E47" w:rsidRPr="004A40CD" w:rsidRDefault="00AB6E4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 with prompting and support.</w:t>
            </w:r>
          </w:p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6E3C7B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9B392A" w:rsidRDefault="00AB6E47" w:rsidP="008C7DE6">
            <w:pPr>
              <w:spacing w:after="0" w:line="240" w:lineRule="auto"/>
              <w:rPr>
                <w:rFonts w:cs="Calibri"/>
                <w:color w:val="FF0000"/>
                <w:u w:val="single"/>
              </w:rPr>
            </w:pPr>
            <w:r w:rsidRPr="009B392A">
              <w:rPr>
                <w:rFonts w:cs="Calibri"/>
                <w:color w:val="FF0000"/>
                <w:u w:val="single"/>
              </w:rPr>
              <w:t>Foundational Skills</w:t>
            </w:r>
          </w:p>
        </w:tc>
        <w:tc>
          <w:tcPr>
            <w:tcW w:w="3420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RFS.K.1. Print Concepts: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Follow words from left to right, top to bottom, and page by page.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Understand that words are separated by spaces in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name all upper- and lowercase letters of the alphabet.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Demonstrates understanding of the organization and basic features of print.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C244BC" w:rsidRDefault="00AB6E47" w:rsidP="006B54F3">
            <w:p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C244BC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Follow words from left to right, top to bottom, and page by page.</w:t>
            </w:r>
          </w:p>
          <w:p w:rsidR="00AB6E47" w:rsidRPr="00C244BC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C244BC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Understand that words are separated by spaces in print.</w:t>
            </w:r>
          </w:p>
          <w:p w:rsidR="00AB6E47" w:rsidRPr="00C244BC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Recognize and name all upper- and lowercase letters of the alphabet.</w:t>
            </w:r>
          </w:p>
          <w:p w:rsidR="006B54F3" w:rsidRPr="00C244BC" w:rsidRDefault="006B54F3" w:rsidP="006B54F3">
            <w:pPr>
              <w:spacing w:after="0" w:line="240" w:lineRule="auto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CAP</w:t>
            </w:r>
          </w:p>
          <w:p w:rsidR="006B54F3" w:rsidRPr="00C244BC" w:rsidRDefault="006B54F3" w:rsidP="006B54F3">
            <w:pPr>
              <w:spacing w:after="0" w:line="240" w:lineRule="auto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Letter ID</w:t>
            </w:r>
          </w:p>
          <w:p w:rsidR="00E20B0C" w:rsidRPr="00C244BC" w:rsidRDefault="00E20B0C" w:rsidP="006B54F3">
            <w:pPr>
              <w:spacing w:after="0" w:line="240" w:lineRule="auto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Guide for Observing &amp; Noting Reading Behaviors F&amp;P kit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RFS.K.2. Phonological Awareness: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produce rhyming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Count, pronounce, blend, and segment syllables in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Blend and segment onsets and rimes of single-syllable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Isolate and pronounce the initial, medial vowel, and final sounds (phonemes) in three-phoneme (consonant-vowel-consonant, or CVC) words.</w:t>
            </w:r>
            <w:r w:rsidRPr="004A40CD">
              <w:rPr>
                <w:rStyle w:val="FootnoteReference"/>
                <w:rFonts w:eastAsia="MS PGothic" w:cs="Calibri"/>
                <w:bCs/>
                <w:sz w:val="20"/>
                <w:szCs w:val="20"/>
              </w:rPr>
              <w:footnoteReference w:customMarkFollows="1" w:id="1"/>
              <w:t>*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Add or substitute individual sounds (phonemes) in simple, one-syllable words to make new words.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ind w:left="18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Demonstrates understanding of spoken words, syllables, and sounds (phonemes).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C244BC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Recognize and produce rhyming words.</w:t>
            </w:r>
          </w:p>
          <w:p w:rsidR="00AB6E47" w:rsidRPr="00C244BC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Count, pronounce, blend, and segment syllables in spoken words.</w:t>
            </w:r>
          </w:p>
          <w:p w:rsidR="00AB6E47" w:rsidRPr="00C244BC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Blend and segment onsets and rimes of single-syllable spoken words.</w:t>
            </w:r>
          </w:p>
          <w:p w:rsidR="00AB6E47" w:rsidRPr="00C244BC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Isolate and pronounce the initial, medial vowel, and final sou</w:t>
            </w:r>
            <w:r w:rsidR="00360762"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 xml:space="preserve">nds (phonemes) in three-phoneme </w:t>
            </w: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lastRenderedPageBreak/>
              <w:t>(consonant-vowel-consonant, or CVC) words.</w:t>
            </w:r>
            <w:r w:rsidRPr="00C244BC">
              <w:rPr>
                <w:rStyle w:val="FootnoteReference"/>
                <w:rFonts w:eastAsia="MS PGothic" w:cs="Calibri"/>
                <w:bCs/>
                <w:color w:val="000000"/>
                <w:sz w:val="20"/>
                <w:szCs w:val="20"/>
              </w:rPr>
              <w:footnoteReference w:customMarkFollows="1" w:id="2"/>
              <w:t>*</w:t>
            </w: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C244BC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Add or substitute individual sounds (phonemes) in simple, one-syllable words to make new words.</w:t>
            </w:r>
          </w:p>
          <w:p w:rsidR="00360762" w:rsidRPr="00C244BC" w:rsidRDefault="00360762" w:rsidP="00360762">
            <w:pPr>
              <w:spacing w:after="0" w:line="240" w:lineRule="auto"/>
              <w:ind w:left="-18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DIBELS PSF</w:t>
            </w:r>
          </w:p>
          <w:p w:rsidR="00360762" w:rsidRPr="00C244BC" w:rsidRDefault="00360762" w:rsidP="00360762">
            <w:pPr>
              <w:spacing w:after="0" w:line="240" w:lineRule="auto"/>
              <w:ind w:left="-18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Fountas &amp; Pinnell Benchmark Assessment Kit</w:t>
            </w:r>
          </w:p>
          <w:p w:rsidR="00360762" w:rsidRPr="00C244BC" w:rsidRDefault="00360762" w:rsidP="00360762">
            <w:pPr>
              <w:spacing w:after="0" w:line="240" w:lineRule="auto"/>
              <w:ind w:left="-18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lastRenderedPageBreak/>
              <w:t xml:space="preserve">RFS.K.3. Phonics &amp; Word Recognition: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Read common high-frequency words by sight (e.g., </w:t>
            </w:r>
            <w:r w:rsidRPr="004A40CD">
              <w:rPr>
                <w:rFonts w:eastAsia="MS PGothic" w:cs="Calibri"/>
                <w:bCs/>
                <w:i/>
                <w:sz w:val="20"/>
                <w:szCs w:val="20"/>
              </w:rPr>
              <w:t>the, of, to, you, she, my, is, are, do, does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Distinguish between similarly spelled words by identifying the sounds of the letters that differ.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Knows and applies kindergarten grade-level phonics and word analysis skills in decoding words.</w:t>
            </w:r>
          </w:p>
        </w:tc>
        <w:tc>
          <w:tcPr>
            <w:tcW w:w="3654" w:type="dxa"/>
          </w:tcPr>
          <w:p w:rsidR="00AB6E47" w:rsidRPr="00C244BC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C244BC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C244BC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 xml:space="preserve">Read common high-frequency words by sight (e.g., </w:t>
            </w:r>
            <w:r w:rsidRPr="00C244BC">
              <w:rPr>
                <w:rFonts w:eastAsia="MS PGothic" w:cs="Calibri"/>
                <w:bCs/>
                <w:i/>
                <w:color w:val="000000"/>
                <w:sz w:val="20"/>
                <w:szCs w:val="20"/>
              </w:rPr>
              <w:t>the, of, to, you, she, my, is, are, do, does</w:t>
            </w: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).</w:t>
            </w:r>
          </w:p>
          <w:p w:rsidR="00AB6E47" w:rsidRPr="00C244BC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Distinguish between similarly spelled words by identifying the sounds of the letters that differ.</w:t>
            </w:r>
          </w:p>
          <w:p w:rsidR="00777A26" w:rsidRPr="00C244BC" w:rsidRDefault="005138B4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cs="Calibri"/>
                <w:color w:val="000000"/>
                <w:sz w:val="20"/>
                <w:szCs w:val="20"/>
              </w:rPr>
              <w:t>Running Records</w:t>
            </w:r>
          </w:p>
          <w:p w:rsidR="005138B4" w:rsidRPr="00C244BC" w:rsidRDefault="005138B4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cs="Calibri"/>
                <w:color w:val="000000"/>
                <w:sz w:val="20"/>
                <w:szCs w:val="20"/>
              </w:rPr>
              <w:t>Letter ID</w:t>
            </w:r>
          </w:p>
          <w:p w:rsidR="005138B4" w:rsidRPr="00C244BC" w:rsidRDefault="005138B4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cs="Calibri"/>
                <w:color w:val="000000"/>
                <w:sz w:val="20"/>
                <w:szCs w:val="20"/>
              </w:rPr>
              <w:t>Writing Vocabulary</w:t>
            </w:r>
          </w:p>
          <w:p w:rsidR="005138B4" w:rsidRPr="00C244BC" w:rsidRDefault="005138B4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cs="Calibri"/>
                <w:color w:val="000000"/>
                <w:sz w:val="20"/>
                <w:szCs w:val="20"/>
              </w:rPr>
              <w:t>Student writing</w:t>
            </w:r>
          </w:p>
          <w:p w:rsidR="00440B21" w:rsidRPr="00C244BC" w:rsidRDefault="00440B21" w:rsidP="00440B21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  <w:u w:val="single"/>
              </w:rPr>
            </w:pPr>
            <w:r w:rsidRPr="00C244BC">
              <w:rPr>
                <w:rFonts w:cs="Calibri"/>
                <w:b/>
                <w:color w:val="000000"/>
                <w:sz w:val="20"/>
                <w:szCs w:val="20"/>
                <w:u w:val="single"/>
              </w:rPr>
              <w:t>Dictation</w:t>
            </w:r>
          </w:p>
          <w:p w:rsidR="00440B21" w:rsidRPr="00C244BC" w:rsidRDefault="00440B21" w:rsidP="00777A26">
            <w:pPr>
              <w:spacing w:after="0" w:line="240" w:lineRule="auto"/>
              <w:rPr>
                <w:rFonts w:eastAsia="MS PGothic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C244BC">
              <w:rPr>
                <w:rFonts w:eastAsia="MS PGothic" w:cs="Calibri"/>
                <w:b/>
                <w:bCs/>
                <w:color w:val="000000"/>
                <w:sz w:val="20"/>
                <w:szCs w:val="20"/>
                <w:u w:val="single"/>
              </w:rPr>
              <w:t>Word Test</w:t>
            </w:r>
          </w:p>
          <w:p w:rsidR="00E20B0C" w:rsidRPr="00C244BC" w:rsidRDefault="00E20B0C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C244BC">
              <w:rPr>
                <w:rFonts w:eastAsia="MS PGothic" w:cs="Calibri"/>
                <w:bCs/>
                <w:color w:val="000000"/>
                <w:sz w:val="20"/>
                <w:szCs w:val="20"/>
              </w:rPr>
              <w:t>F&amp;P Benchmark Kit</w:t>
            </w:r>
          </w:p>
          <w:p w:rsidR="00440B21" w:rsidRPr="00C244BC" w:rsidRDefault="00440B21" w:rsidP="00777A2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RFS.K.4. Fluency: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Read emergent-reader texts with purpose and understanding.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Reads emergent-reader texts with purpose and understanding with prompting and support.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>benchmarks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:rsidR="000C5A6D" w:rsidRPr="000C5A6D" w:rsidRDefault="000C5A6D" w:rsidP="000C5A6D">
      <w:pPr>
        <w:pStyle w:val="FootnoteText"/>
        <w:tabs>
          <w:tab w:val="left" w:pos="2415"/>
        </w:tabs>
        <w:rPr>
          <w:rFonts w:ascii="Calibri" w:hAnsi="Calibri"/>
        </w:rPr>
      </w:pPr>
      <w:r w:rsidRPr="000C5A6D">
        <w:rPr>
          <w:rFonts w:ascii="Calibri" w:hAnsi="Calibri"/>
        </w:rPr>
        <w:t>Many items listed are activities, not assessments.  K-1 will be able to use Fountas &amp; Pinnell Benchmarking Kit.  Anecdotal records are not consistent from teacher to teacher.</w:t>
      </w:r>
    </w:p>
    <w:p w:rsidR="00914A8E" w:rsidRPr="004A40CD" w:rsidRDefault="00914A8E" w:rsidP="000C5A6D">
      <w:pPr>
        <w:rPr>
          <w:rFonts w:cs="Calibri"/>
          <w:sz w:val="20"/>
          <w:szCs w:val="20"/>
        </w:rPr>
      </w:pPr>
    </w:p>
    <w:sectPr w:rsidR="00914A8E" w:rsidRPr="004A40CD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BC" w:rsidRDefault="00C244BC" w:rsidP="00874AB2">
      <w:pPr>
        <w:spacing w:after="0" w:line="240" w:lineRule="auto"/>
      </w:pPr>
      <w:r>
        <w:separator/>
      </w:r>
    </w:p>
  </w:endnote>
  <w:endnote w:type="continuationSeparator" w:id="0">
    <w:p w:rsidR="00C244BC" w:rsidRDefault="00C244BC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BC" w:rsidRDefault="00C244BC" w:rsidP="00874AB2">
      <w:pPr>
        <w:spacing w:after="0" w:line="240" w:lineRule="auto"/>
      </w:pPr>
      <w:r>
        <w:separator/>
      </w:r>
    </w:p>
  </w:footnote>
  <w:footnote w:type="continuationSeparator" w:id="0">
    <w:p w:rsidR="00C244BC" w:rsidRDefault="00C244BC" w:rsidP="00874AB2">
      <w:pPr>
        <w:spacing w:after="0" w:line="240" w:lineRule="auto"/>
      </w:pPr>
      <w:r>
        <w:continuationSeparator/>
      </w:r>
    </w:p>
  </w:footnote>
  <w:footnote w:id="1">
    <w:p w:rsidR="00AB6E47" w:rsidRPr="000C5A6D" w:rsidRDefault="00AB6E47" w:rsidP="0074126F">
      <w:pPr>
        <w:pStyle w:val="FootnoteText"/>
        <w:tabs>
          <w:tab w:val="left" w:pos="2415"/>
        </w:tabs>
        <w:rPr>
          <w:rFonts w:ascii="Calibri" w:hAnsi="Calibri"/>
        </w:rPr>
      </w:pPr>
    </w:p>
  </w:footnote>
  <w:footnote w:id="2">
    <w:p w:rsidR="00AB6E47" w:rsidRPr="00A71BB9" w:rsidRDefault="00AB6E47" w:rsidP="00810DAC">
      <w:pPr>
        <w:pStyle w:val="FootnoteText"/>
        <w:tabs>
          <w:tab w:val="left" w:pos="2415"/>
        </w:tabs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0D76"/>
    <w:multiLevelType w:val="hybridMultilevel"/>
    <w:tmpl w:val="0DFE1D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EB1AB5"/>
    <w:multiLevelType w:val="hybridMultilevel"/>
    <w:tmpl w:val="B442FA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7A53B4"/>
    <w:multiLevelType w:val="hybridMultilevel"/>
    <w:tmpl w:val="C9F0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A13E2"/>
    <w:multiLevelType w:val="hybridMultilevel"/>
    <w:tmpl w:val="E16451B2"/>
    <w:lvl w:ilvl="0" w:tplc="F4AC2D36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>
    <w:nsid w:val="7ABC556C"/>
    <w:multiLevelType w:val="hybridMultilevel"/>
    <w:tmpl w:val="CEC86832"/>
    <w:lvl w:ilvl="0" w:tplc="2D68381E">
      <w:start w:val="1"/>
      <w:numFmt w:val="decimal"/>
      <w:lvlText w:val="%1."/>
      <w:lvlJc w:val="left"/>
      <w:pPr>
        <w:ind w:left="540" w:hanging="360"/>
      </w:pPr>
      <w:rPr>
        <w:rFonts w:ascii="Calibri" w:eastAsia="MS PGothic" w:hAnsi="Calibri" w:cs="Arial"/>
      </w:rPr>
    </w:lvl>
    <w:lvl w:ilvl="1" w:tplc="F4AC2D3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8E"/>
    <w:rsid w:val="000320BB"/>
    <w:rsid w:val="000564C4"/>
    <w:rsid w:val="0008568D"/>
    <w:rsid w:val="000C5A6D"/>
    <w:rsid w:val="001900C8"/>
    <w:rsid w:val="00202FE9"/>
    <w:rsid w:val="002F168E"/>
    <w:rsid w:val="002F76B5"/>
    <w:rsid w:val="00360762"/>
    <w:rsid w:val="00381E0D"/>
    <w:rsid w:val="003F4433"/>
    <w:rsid w:val="00440B21"/>
    <w:rsid w:val="004A40CD"/>
    <w:rsid w:val="004D2B3E"/>
    <w:rsid w:val="004F5478"/>
    <w:rsid w:val="005138B4"/>
    <w:rsid w:val="005A0A28"/>
    <w:rsid w:val="00600461"/>
    <w:rsid w:val="006B54F3"/>
    <w:rsid w:val="006E3C7B"/>
    <w:rsid w:val="007069B9"/>
    <w:rsid w:val="0074126F"/>
    <w:rsid w:val="00777A26"/>
    <w:rsid w:val="007E0E32"/>
    <w:rsid w:val="00810DAC"/>
    <w:rsid w:val="008243C0"/>
    <w:rsid w:val="00874AB2"/>
    <w:rsid w:val="00893BC1"/>
    <w:rsid w:val="0089770F"/>
    <w:rsid w:val="008A350A"/>
    <w:rsid w:val="008C7DE6"/>
    <w:rsid w:val="008D37B0"/>
    <w:rsid w:val="008D75D3"/>
    <w:rsid w:val="00903C85"/>
    <w:rsid w:val="00914A8E"/>
    <w:rsid w:val="009B392A"/>
    <w:rsid w:val="009F5DCA"/>
    <w:rsid w:val="00A87611"/>
    <w:rsid w:val="00AB6E47"/>
    <w:rsid w:val="00AC7168"/>
    <w:rsid w:val="00AD62EA"/>
    <w:rsid w:val="00AF719D"/>
    <w:rsid w:val="00C244BC"/>
    <w:rsid w:val="00C41229"/>
    <w:rsid w:val="00CA4571"/>
    <w:rsid w:val="00CB3B88"/>
    <w:rsid w:val="00CC0C13"/>
    <w:rsid w:val="00CE57D6"/>
    <w:rsid w:val="00D60BF4"/>
    <w:rsid w:val="00D83D37"/>
    <w:rsid w:val="00DA3B46"/>
    <w:rsid w:val="00DB2D37"/>
    <w:rsid w:val="00E20B0C"/>
    <w:rsid w:val="00E448EA"/>
    <w:rsid w:val="00E72C51"/>
    <w:rsid w:val="00E76FB0"/>
    <w:rsid w:val="00F1276C"/>
    <w:rsid w:val="00F5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810DA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810D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9542-6AB1-4888-9B10-26C9BD5A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1717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seidc</cp:lastModifiedBy>
  <cp:revision>2</cp:revision>
  <dcterms:created xsi:type="dcterms:W3CDTF">2012-03-26T16:22:00Z</dcterms:created>
  <dcterms:modified xsi:type="dcterms:W3CDTF">2012-03-26T16:22:00Z</dcterms:modified>
</cp:coreProperties>
</file>