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Default="001E7097">
      <w:proofErr w:type="gramStart"/>
      <w:r>
        <w:t>2</w:t>
      </w:r>
      <w:r w:rsidRPr="001E7097">
        <w:rPr>
          <w:vertAlign w:val="superscript"/>
        </w:rPr>
        <w:t>nd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3420"/>
        <w:gridCol w:w="3654"/>
        <w:gridCol w:w="3654"/>
      </w:tblGrid>
      <w:tr w:rsidR="00451F0D" w:rsidRPr="00600461" w:rsidTr="008C7DE6">
        <w:tc>
          <w:tcPr>
            <w:tcW w:w="3888" w:type="dxa"/>
          </w:tcPr>
          <w:p w:rsidR="00451F0D" w:rsidRPr="0008317F" w:rsidRDefault="00451F0D" w:rsidP="00451F0D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Literature</w:t>
            </w:r>
          </w:p>
        </w:tc>
        <w:tc>
          <w:tcPr>
            <w:tcW w:w="3420" w:type="dxa"/>
          </w:tcPr>
          <w:p w:rsidR="00451F0D" w:rsidRPr="00600461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</w:tr>
      <w:tr w:rsidR="008C7DE6" w:rsidRPr="00600461" w:rsidTr="008C7DE6">
        <w:tc>
          <w:tcPr>
            <w:tcW w:w="3888" w:type="dxa"/>
          </w:tcPr>
          <w:p w:rsidR="008C7DE6" w:rsidRPr="00451F0D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600461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8C7DE6" w:rsidRPr="00600461" w:rsidTr="008C7DE6">
        <w:tc>
          <w:tcPr>
            <w:tcW w:w="388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634268" w:rsidRDefault="004F5E00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organizers, discussion checklist, writing RL.2.1 stories include who, what where… (PH)</w:t>
            </w:r>
          </w:p>
        </w:tc>
        <w:tc>
          <w:tcPr>
            <w:tcW w:w="3654" w:type="dxa"/>
          </w:tcPr>
          <w:p w:rsidR="008C7DE6" w:rsidRPr="00E90C99" w:rsidRDefault="008C7DE6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Ask and answer such questions as who, what, where, when, why, and how to demonstrate understanding of key details in a text.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who, what, where, when, why, and how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Elements graphic organizer (HD)</w:t>
            </w:r>
          </w:p>
          <w:p w:rsidR="003C7555" w:rsidRPr="00634268" w:rsidRDefault="003C755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3C7555" w:rsidRPr="00634268" w:rsidRDefault="003C7555" w:rsidP="00B744E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RL.2.2.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Recount stories, including fables and folktales from diverse cultures, and determine their central message, lesson, or moral.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Retells stories and determines central message, lesson or moral.</w:t>
            </w:r>
          </w:p>
        </w:tc>
        <w:tc>
          <w:tcPr>
            <w:tcW w:w="3654" w:type="dxa"/>
          </w:tcPr>
          <w:p w:rsidR="00634268" w:rsidRDefault="00D41025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fables and </w:t>
            </w:r>
            <w:r w:rsidR="00634268">
              <w:rPr>
                <w:rFonts w:eastAsia="MS PGothic" w:cs="Arial"/>
                <w:bCs/>
                <w:sz w:val="20"/>
                <w:szCs w:val="20"/>
              </w:rPr>
              <w:t>folktales from diverse cultures</w:t>
            </w:r>
          </w:p>
          <w:p w:rsidR="00634268" w:rsidRDefault="00E90C99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="00634268">
              <w:rPr>
                <w:rFonts w:eastAsia="MS PGothic" w:cs="Arial"/>
                <w:bCs/>
                <w:sz w:val="20"/>
                <w:szCs w:val="20"/>
              </w:rPr>
              <w:t>tudent retell with oral response template (JC)</w:t>
            </w:r>
          </w:p>
          <w:p w:rsidR="00D41025" w:rsidRDefault="00634268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Retell with puppet popsicle sticks on felt board (HD)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4F5E00" w:rsidRPr="00634268" w:rsidRDefault="004F5E00" w:rsidP="00E969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 in order and draw picture (HD)</w:t>
            </w:r>
          </w:p>
        </w:tc>
        <w:tc>
          <w:tcPr>
            <w:tcW w:w="3654" w:type="dxa"/>
          </w:tcPr>
          <w:p w:rsidR="00D41025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Content: social studies-Native Americans, Japan (JC)</w:t>
            </w:r>
          </w:p>
          <w:p w:rsidR="00634268" w:rsidRPr="00634268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characters in a story respond to major events and challenges.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characters in a story respond to major events.</w:t>
            </w:r>
          </w:p>
        </w:tc>
        <w:tc>
          <w:tcPr>
            <w:tcW w:w="3654" w:type="dxa"/>
          </w:tcPr>
          <w:p w:rsidR="00D41025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Web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diary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writing as a character responding to major events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to a character in the story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“Be the Character” (HD)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Sequencing events (HD)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prompt-how does the character overcome their obstacles? (HD)</w:t>
            </w:r>
          </w:p>
          <w:p w:rsidR="004F5E00" w:rsidRPr="00634268" w:rsidRDefault="004F5E00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maps (CL)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the Comprehension Toolkit by Harvey &amp; </w:t>
            </w:r>
            <w:proofErr w:type="spellStart"/>
            <w:r>
              <w:rPr>
                <w:sz w:val="20"/>
                <w:szCs w:val="20"/>
              </w:rPr>
              <w:t>Goudvis</w:t>
            </w:r>
            <w:proofErr w:type="spellEnd"/>
            <w:r>
              <w:rPr>
                <w:sz w:val="20"/>
                <w:szCs w:val="20"/>
              </w:rPr>
              <w:t xml:space="preserve"> to assess CQVIIS-rubrics within the kit (CR)</w:t>
            </w:r>
          </w:p>
          <w:p w:rsidR="0035243E" w:rsidRPr="00634268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Connection </w:t>
            </w:r>
            <w:proofErr w:type="spellStart"/>
            <w:r>
              <w:rPr>
                <w:sz w:val="20"/>
                <w:szCs w:val="20"/>
              </w:rPr>
              <w:t>Thinksheets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Orsini</w:t>
            </w:r>
            <w:proofErr w:type="spellEnd"/>
            <w:r>
              <w:rPr>
                <w:sz w:val="20"/>
                <w:szCs w:val="20"/>
              </w:rPr>
              <w:t>, WR)</w:t>
            </w:r>
            <w:r w:rsidR="004F5E00" w:rsidRPr="0035243E">
              <w:rPr>
                <w:sz w:val="20"/>
                <w:szCs w:val="20"/>
                <w:u w:val="single"/>
              </w:rPr>
              <w:t xml:space="preserve"> </w:t>
            </w:r>
            <w:r w:rsidR="004F5E00" w:rsidRPr="0035243E">
              <w:rPr>
                <w:sz w:val="20"/>
                <w:szCs w:val="20"/>
                <w:u w:val="single"/>
              </w:rPr>
              <w:t>Reading Comprehension Activities</w:t>
            </w:r>
            <w:r w:rsidR="004F5E00">
              <w:rPr>
                <w:sz w:val="20"/>
                <w:szCs w:val="20"/>
              </w:rPr>
              <w:t>, Teacher Created Resources (WH)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058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class-RL.2.4 “Mr. Stretchy” (PH)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words and phrases (e.g., regular beats, alliteration, rhymes, repeated lines) supply rhythm and meaning in a story, poem, or song.</w:t>
            </w:r>
          </w:p>
        </w:tc>
        <w:tc>
          <w:tcPr>
            <w:tcW w:w="3420" w:type="dxa"/>
          </w:tcPr>
          <w:p w:rsidR="00D41025" w:rsidRPr="00E96987" w:rsidRDefault="00D41025" w:rsidP="002B0F2B">
            <w:pPr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1F4ABD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 xml:space="preserve"> how words and phrases supply rhythm and meaning.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in a story, poem, or song  (e.g., regular beats, alliteration, rhymes, repeated lines)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BTL poem of the week-highlight rhyming pattern (HD)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Intertwine with music (HD)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Poetry notebooks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Students highlight rhyming words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Choral reading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>Vocabulary (JC)</w:t>
            </w:r>
          </w:p>
          <w:p w:rsidR="004F5E00" w:rsidRDefault="004F5E00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from character’s point of view (PH</w:t>
            </w:r>
            <w:r>
              <w:rPr>
                <w:sz w:val="20"/>
                <w:szCs w:val="20"/>
              </w:rPr>
              <w:t>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4F5E00" w:rsidRPr="00634268" w:rsidRDefault="004F5E00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02779E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Reader’s </w:t>
            </w:r>
            <w:r w:rsidR="00E90C99">
              <w:rPr>
                <w:sz w:val="20"/>
                <w:szCs w:val="20"/>
              </w:rPr>
              <w:t>Theater</w:t>
            </w:r>
            <w:r>
              <w:rPr>
                <w:sz w:val="20"/>
                <w:szCs w:val="20"/>
              </w:rPr>
              <w:t xml:space="preserve"> and guided reading groups (PH)</w:t>
            </w:r>
          </w:p>
          <w:p w:rsidR="0002779E" w:rsidRPr="00634268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RL.2.5.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overall structure of a story, including beginning, middle and ending.</w:t>
            </w:r>
          </w:p>
        </w:tc>
        <w:tc>
          <w:tcPr>
            <w:tcW w:w="3654" w:type="dxa"/>
          </w:tcPr>
          <w:p w:rsidR="00377D43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including describing how the beginning introduces the story and the ending concludes the action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Strategies to Achieve Reading Success (STARS)-multiple choice questions (HD)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story events (HD)</w:t>
            </w:r>
          </w:p>
          <w:p w:rsidR="004F5E00" w:rsidRPr="00377D43" w:rsidRDefault="004F5E00" w:rsidP="004F5E00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Sequence sentence strips and glue in order (HD)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Acknowledge differences in the points of view of characters, including by speaking in a different voice for each character when reading dialogue aloud.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Describes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differences in the points of view of characters.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including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by speaking in a different voice for each character when reading dialogue aloud.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letter in a character’s point of view (HD)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 with a rubric (HD)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T-Chart comparing points of view (HD)</w:t>
            </w:r>
          </w:p>
          <w:p w:rsidR="004F5E00" w:rsidRPr="00634268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Theater-make rubric on how well the students read with expression (WH)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Default="00451F0D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Websites like </w:t>
            </w:r>
            <w:proofErr w:type="spellStart"/>
            <w:r>
              <w:rPr>
                <w:sz w:val="20"/>
                <w:szCs w:val="20"/>
              </w:rPr>
              <w:t>Rubistar</w:t>
            </w:r>
            <w:proofErr w:type="spellEnd"/>
            <w:r>
              <w:rPr>
                <w:sz w:val="20"/>
                <w:szCs w:val="20"/>
              </w:rPr>
              <w:t xml:space="preserve"> for rubrics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checklist (PH)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 (PH)</w:t>
            </w:r>
          </w:p>
          <w:p w:rsidR="004F5E00" w:rsidRPr="00634268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Logs (PH)</w:t>
            </w:r>
          </w:p>
        </w:tc>
        <w:tc>
          <w:tcPr>
            <w:tcW w:w="3654" w:type="dxa"/>
          </w:tcPr>
          <w:p w:rsidR="00E96987" w:rsidRPr="00634268" w:rsidRDefault="00E96987" w:rsidP="00E90C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1E7097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information gained from the illustrations and words in a print or digital text to demonstrate understanding of its characters, setting, or plot.</w:t>
            </w:r>
          </w:p>
        </w:tc>
        <w:tc>
          <w:tcPr>
            <w:tcW w:w="3420" w:type="dxa"/>
          </w:tcPr>
          <w:p w:rsidR="00D41025" w:rsidRPr="00490A56" w:rsidRDefault="00D41025" w:rsidP="002B0F2B">
            <w:pPr>
              <w:spacing w:after="0" w:line="240" w:lineRule="auto"/>
            </w:pPr>
            <w:r w:rsidRPr="00490A56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information gained from </w:t>
            </w:r>
            <w:r>
              <w:rPr>
                <w:rFonts w:eastAsia="MS PGothic" w:cs="Arial"/>
                <w:bCs/>
                <w:sz w:val="20"/>
                <w:szCs w:val="20"/>
              </w:rPr>
              <w:t>illustrations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and text 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>to demonstrate understanding of its characters, setting, or plot.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print or digital text</w:t>
            </w:r>
          </w:p>
          <w:p w:rsidR="004F5E00" w:rsidRPr="00634268" w:rsidRDefault="004F5E00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a picture from the story, explain what it shows and tell what the picture means (HD)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two or more versions of the same story (e.g., Cinderella stories) by different authors or from different cultures.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two or more versions of the same story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Pr="00634268" w:rsidRDefault="00E90C99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</w:t>
            </w:r>
            <w:r w:rsidR="00D41025" w:rsidRPr="00634268">
              <w:rPr>
                <w:sz w:val="20"/>
                <w:szCs w:val="20"/>
              </w:rPr>
              <w:t xml:space="preserve"> diagram</w:t>
            </w:r>
            <w:r w:rsidR="00463527">
              <w:rPr>
                <w:sz w:val="20"/>
                <w:szCs w:val="20"/>
              </w:rPr>
              <w:t xml:space="preserve"> 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>(e.g., Cinderella stories) by different authors or from different cultures.</w:t>
            </w:r>
            <w:r w:rsidR="004F5E00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="004F5E00">
              <w:rPr>
                <w:sz w:val="20"/>
                <w:szCs w:val="20"/>
              </w:rPr>
              <w:t>VENN Diagram-Feature Book and related literature (HD)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By the end of the </w:t>
            </w:r>
            <w:proofErr w:type="gramStart"/>
            <w:r w:rsidRPr="00E67158"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 read and comprehend literature, including stories and poetry,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level stories and poetry independently and proficiently.</w:t>
            </w:r>
          </w:p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sz w:val="20"/>
                <w:szCs w:val="20"/>
              </w:rPr>
              <w:t>Reading logs</w:t>
            </w:r>
          </w:p>
          <w:p w:rsidR="004F5E00" w:rsidRDefault="00463527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Book and Bag</w:t>
            </w:r>
            <w:r w:rsidR="004F5E00">
              <w:rPr>
                <w:sz w:val="20"/>
                <w:szCs w:val="20"/>
              </w:rPr>
              <w:t xml:space="preserve"> </w:t>
            </w:r>
            <w:r w:rsidR="004F5E00">
              <w:rPr>
                <w:sz w:val="20"/>
                <w:szCs w:val="20"/>
              </w:rPr>
              <w:t>Write books on log (HD)</w:t>
            </w:r>
          </w:p>
          <w:p w:rsidR="00463527" w:rsidRPr="00634268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books from book list (HD)</w:t>
            </w:r>
          </w:p>
        </w:tc>
        <w:tc>
          <w:tcPr>
            <w:tcW w:w="3654" w:type="dxa"/>
          </w:tcPr>
          <w:p w:rsidR="00463527" w:rsidRPr="00634268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08317F" w:rsidRDefault="00451F0D" w:rsidP="00914A8E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lastRenderedPageBreak/>
              <w:t xml:space="preserve">Reading Standards for </w:t>
            </w:r>
            <w:r w:rsidR="00E96987" w:rsidRPr="0008317F">
              <w:rPr>
                <w:color w:val="FF0000"/>
                <w:u w:val="single"/>
              </w:rPr>
              <w:t>Informational Text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RI.2.1. 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Ask and answer such questions as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to demonstrate understanding of key details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KWL Chart (HD)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Preview book, ask three questions you are wondering about, read, and answer (HD)</w:t>
            </w:r>
          </w:p>
          <w:p w:rsidR="00780DE7" w:rsidRPr="00814F53" w:rsidRDefault="00780DE7" w:rsidP="00814F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Write three facts you learned (HD)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 as well as the focus of specific paragraphs within the text.</w:t>
            </w:r>
          </w:p>
        </w:tc>
        <w:tc>
          <w:tcPr>
            <w:tcW w:w="3420" w:type="dxa"/>
          </w:tcPr>
          <w:p w:rsidR="00780DE7" w:rsidRPr="00600461" w:rsidRDefault="00780DE7" w:rsidP="002B0F2B">
            <w:pPr>
              <w:spacing w:after="0" w:line="240" w:lineRule="auto"/>
              <w:rPr>
                <w:u w:val="single"/>
              </w:rPr>
            </w:pPr>
            <w:r w:rsidRPr="00381DAE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the main topic</w:t>
            </w:r>
            <w:r>
              <w:rPr>
                <w:rFonts w:eastAsia="MS PGothic" w:cs="Arial"/>
                <w:bCs/>
                <w:sz w:val="20"/>
                <w:szCs w:val="20"/>
              </w:rPr>
              <w:t>(s)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focus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of specific paragraphs within the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STARs multiple choice questions (HD)</w:t>
            </w:r>
          </w:p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Read one paragraph and write main idea (HD)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Main Idea Rubric (CL)</w:t>
            </w:r>
          </w:p>
          <w:p w:rsidR="004F5E00" w:rsidRDefault="004F5E00" w:rsidP="004F5E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 “Main Idea Map” (CL)</w:t>
            </w:r>
          </w:p>
          <w:p w:rsidR="004F5E00" w:rsidRPr="00D948A0" w:rsidRDefault="004F5E00" w:rsidP="004F5E00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 Geographic Magazines (WR)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a series of historical events, scientific ideas or concepts, or steps in technical procedures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a series of historical events, ideas, concepts, or steps in technical procedures in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Timeline story with dates (HD)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studies/science-masterwork artist timeline of life (HD)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Unit-rights/responsibilities and the original Constitution (Kelli, WH)</w:t>
            </w:r>
          </w:p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studies-Constitution, time line, historical diary (JC)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websites showing visual images for subject areas (CL)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RI.2.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D948A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unit: make connections, summarize the Preamble to the Constitution (WH)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Match word to meaning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Picture dictionaries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checklist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780DE7" w:rsidRPr="00634268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Post-it notes to label features of text (PH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 xml:space="preserve">Determine the meaning of words and phrases in a text relevant to a </w:t>
            </w:r>
            <w:r w:rsidRPr="00732F85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Determine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meaning of content area </w:t>
            </w:r>
            <w:r>
              <w:rPr>
                <w:rFonts w:eastAsia="MS PGothic" w:cs="Arial"/>
                <w:bCs/>
                <w:sz w:val="20"/>
                <w:szCs w:val="20"/>
              </w:rPr>
              <w:t>vocabulary.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text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relevant to a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Frayer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model (HD)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 xml:space="preserve">Know and use various text features (e.g., captions, bold print, subheadings, glossaries, indexes, electronic menus, icons) to locate key facts or information in a text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lastRenderedPageBreak/>
              <w:t>efficiently.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</w:t>
            </w:r>
            <w:r>
              <w:rPr>
                <w:rFonts w:eastAsia="MS PGothic" w:cs="Arial"/>
                <w:bCs/>
                <w:sz w:val="20"/>
                <w:szCs w:val="20"/>
              </w:rPr>
              <w:t>y facts or information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Know and use various text features (e.g., captions, bold print, subheadings, glossaries, indexes, electronic menus, icons) to locate key facts or information in 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lastRenderedPageBreak/>
              <w:t>a text efficiently.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Time for Kids</w:t>
            </w:r>
            <w:r>
              <w:rPr>
                <w:sz w:val="20"/>
                <w:szCs w:val="20"/>
              </w:rPr>
              <w:t>-text features, diagrams, images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“Did you know?” bubbles (</w:t>
            </w:r>
            <w:proofErr w:type="spellStart"/>
            <w:r>
              <w:rPr>
                <w:sz w:val="20"/>
                <w:szCs w:val="20"/>
              </w:rPr>
              <w:t>Orsini</w:t>
            </w:r>
            <w:proofErr w:type="spellEnd"/>
            <w:r>
              <w:rPr>
                <w:sz w:val="20"/>
                <w:szCs w:val="20"/>
              </w:rPr>
              <w:t>, WR)</w:t>
            </w:r>
          </w:p>
          <w:p w:rsidR="00151F31" w:rsidRPr="00634268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investigations (</w:t>
            </w:r>
            <w:proofErr w:type="spellStart"/>
            <w:r>
              <w:rPr>
                <w:sz w:val="20"/>
                <w:szCs w:val="20"/>
              </w:rPr>
              <w:t>Orsini</w:t>
            </w:r>
            <w:proofErr w:type="spellEnd"/>
            <w:r>
              <w:rPr>
                <w:sz w:val="20"/>
                <w:szCs w:val="20"/>
              </w:rPr>
              <w:t>, WR)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Time for Kids</w:t>
            </w:r>
            <w:r>
              <w:rPr>
                <w:sz w:val="20"/>
                <w:szCs w:val="20"/>
              </w:rPr>
              <w:t>-text features, diagrams, images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“Did you know?” bubbles (Orsini, WR)</w:t>
            </w:r>
          </w:p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investigations (Orsini, WR)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RI.2.6.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Identify the main purpose of a text, including what the author wants to answer, explain, or describe.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purpose of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including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what the author wants to answer, explain, or describe.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Websites like </w:t>
            </w:r>
            <w:proofErr w:type="spellStart"/>
            <w:r>
              <w:rPr>
                <w:sz w:val="20"/>
                <w:szCs w:val="20"/>
              </w:rPr>
              <w:t>Rubistar</w:t>
            </w:r>
            <w:proofErr w:type="spellEnd"/>
            <w:r>
              <w:rPr>
                <w:sz w:val="20"/>
                <w:szCs w:val="20"/>
              </w:rPr>
              <w:t xml:space="preserve"> for rubrics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Microscope web-what parts do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Flowchart for plants (PH)</w:t>
            </w:r>
          </w:p>
          <w:p w:rsidR="00151F31" w:rsidRPr="00634268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images contribute to and clarify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Describe how reasons support specific points the author makes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reasons support specific points the author makes in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Compare and contrast the most important points presented by two texts on the same topic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most important points presented in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 (JC)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Benchmarks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 ()H)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logs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District expectations (PH)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from BTL (PH)</w:t>
            </w:r>
          </w:p>
          <w:p w:rsidR="00780DE7" w:rsidRPr="00634268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 (PH)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RI.2.10. By the end of </w:t>
            </w:r>
            <w:proofErr w:type="gramStart"/>
            <w:r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Pr="00500DCB">
              <w:rPr>
                <w:rFonts w:eastAsia="MS PGothic" w:cs="Arial"/>
                <w:bCs/>
                <w:sz w:val="20"/>
                <w:szCs w:val="20"/>
              </w:rPr>
              <w:t>read and comprehend informational texts, including history/social studies, science, and technical texts,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sz w:val="20"/>
                <w:szCs w:val="20"/>
              </w:rPr>
              <w:t>Reading logs, content area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08317F" w:rsidRDefault="00780DE7" w:rsidP="008C7DE6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Foundational Skills</w:t>
            </w: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RFS.2.1. Print Concepts:  </w:t>
            </w:r>
          </w:p>
          <w:p w:rsidR="00780DE7" w:rsidRPr="00A82052" w:rsidRDefault="00780DE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RFS.2.2. Phonological Awareness:  </w:t>
            </w:r>
          </w:p>
          <w:p w:rsidR="00780DE7" w:rsidRPr="00A82052" w:rsidRDefault="00780DE7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1E7097">
            <w:pPr>
              <w:numPr>
                <w:ilvl w:val="0"/>
                <w:numId w:val="6"/>
              </w:numPr>
              <w:spacing w:after="0" w:line="240" w:lineRule="auto"/>
              <w:ind w:left="348" w:hanging="270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RFS.2.3. Phonics &amp; Word Recognition:  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 xml:space="preserve">Distinguish long and short vowels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lastRenderedPageBreak/>
              <w:t>when reading regularly spelled one-syllable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Know spelling-sound correspondences for additional common vowel teams.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A82052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proofErr w:type="spellStart"/>
            <w:r w:rsidRPr="00620B88">
              <w:rPr>
                <w:rFonts w:eastAsia="MS PGothic" w:cs="Arial"/>
                <w:bCs/>
                <w:sz w:val="20"/>
                <w:szCs w:val="20"/>
              </w:rPr>
              <w:t>words.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irregularly</w:t>
            </w:r>
            <w:proofErr w:type="spellEnd"/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 and applies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second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Know spelling-sound 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lastRenderedPageBreak/>
              <w:t>correspondences for additional common vowel teams.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151F31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firstLine="0"/>
              <w:rPr>
                <w:color w:val="00B0F0"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proofErr w:type="spellStart"/>
            <w:r w:rsidRPr="00634268">
              <w:rPr>
                <w:rFonts w:eastAsia="MS PGothic" w:cs="Arial"/>
                <w:bCs/>
                <w:sz w:val="20"/>
                <w:szCs w:val="20"/>
              </w:rPr>
              <w:t>words.irregularly</w:t>
            </w:r>
            <w:proofErr w:type="spell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Weekl</w:t>
            </w:r>
            <w:r w:rsidRPr="00674C50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spelling texts (JC)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Dictation (JC)</w:t>
            </w:r>
          </w:p>
          <w:p w:rsidR="00151F31" w:rsidRDefault="00151F31" w:rsidP="00151F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 (JC)</w:t>
            </w:r>
          </w:p>
          <w:p w:rsidR="00151F31" w:rsidRPr="00634268" w:rsidRDefault="00151F31" w:rsidP="00151F31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>
              <w:rPr>
                <w:sz w:val="20"/>
                <w:szCs w:val="20"/>
              </w:rPr>
              <w:t>Daily Language Review</w:t>
            </w:r>
            <w:bookmarkStart w:id="0" w:name="_GoBack"/>
            <w:bookmarkEnd w:id="0"/>
          </w:p>
        </w:tc>
        <w:tc>
          <w:tcPr>
            <w:tcW w:w="3654" w:type="dxa"/>
          </w:tcPr>
          <w:p w:rsidR="00780DE7" w:rsidRPr="00674C50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E96987">
            <w:pPr>
              <w:numPr>
                <w:ilvl w:val="0"/>
                <w:numId w:val="10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RFS.2.4.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A82052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780DE7" w:rsidRPr="00634268" w:rsidRDefault="00780DE7" w:rsidP="00E96987">
            <w:pPr>
              <w:numPr>
                <w:ilvl w:val="0"/>
                <w:numId w:val="11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34268" w:rsidRDefault="00780DE7" w:rsidP="00E96987">
            <w:pPr>
              <w:numPr>
                <w:ilvl w:val="0"/>
                <w:numId w:val="11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634268" w:rsidRDefault="00780DE7" w:rsidP="00E9698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914A8E" w:rsidRDefault="00914A8E" w:rsidP="00914A8E"/>
    <w:sectPr w:rsidR="00914A8E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E96" w:rsidRDefault="008E5E96" w:rsidP="00874AB2">
      <w:pPr>
        <w:spacing w:after="0" w:line="240" w:lineRule="auto"/>
      </w:pPr>
      <w:r>
        <w:separator/>
      </w:r>
    </w:p>
  </w:endnote>
  <w:endnote w:type="continuationSeparator" w:id="0">
    <w:p w:rsidR="008E5E96" w:rsidRDefault="008E5E96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E96" w:rsidRDefault="008E5E96" w:rsidP="00874AB2">
      <w:pPr>
        <w:spacing w:after="0" w:line="240" w:lineRule="auto"/>
      </w:pPr>
      <w:r>
        <w:separator/>
      </w:r>
    </w:p>
  </w:footnote>
  <w:footnote w:type="continuationSeparator" w:id="0">
    <w:p w:rsidR="008E5E96" w:rsidRDefault="008E5E96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D476C8"/>
    <w:multiLevelType w:val="hybridMultilevel"/>
    <w:tmpl w:val="75F82B84"/>
    <w:lvl w:ilvl="0" w:tplc="5238A27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64202"/>
    <w:multiLevelType w:val="hybridMultilevel"/>
    <w:tmpl w:val="30AEF942"/>
    <w:lvl w:ilvl="0" w:tplc="D20CD7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A40DB"/>
    <w:multiLevelType w:val="hybridMultilevel"/>
    <w:tmpl w:val="93A6D5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877E76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73BD5D4B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0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8E"/>
    <w:rsid w:val="0002779E"/>
    <w:rsid w:val="0008317F"/>
    <w:rsid w:val="00101971"/>
    <w:rsid w:val="00151F31"/>
    <w:rsid w:val="001900C8"/>
    <w:rsid w:val="001C0AC3"/>
    <w:rsid w:val="001E7097"/>
    <w:rsid w:val="002B0F2B"/>
    <w:rsid w:val="002B51AA"/>
    <w:rsid w:val="003453D3"/>
    <w:rsid w:val="0035243E"/>
    <w:rsid w:val="00377D43"/>
    <w:rsid w:val="003C7555"/>
    <w:rsid w:val="003D3ED6"/>
    <w:rsid w:val="003F0255"/>
    <w:rsid w:val="0044359F"/>
    <w:rsid w:val="00451F0D"/>
    <w:rsid w:val="00463527"/>
    <w:rsid w:val="00490A56"/>
    <w:rsid w:val="004F5E00"/>
    <w:rsid w:val="00513FF3"/>
    <w:rsid w:val="00600461"/>
    <w:rsid w:val="00605BC7"/>
    <w:rsid w:val="00634268"/>
    <w:rsid w:val="00666E78"/>
    <w:rsid w:val="00674C50"/>
    <w:rsid w:val="006A730B"/>
    <w:rsid w:val="00706A0B"/>
    <w:rsid w:val="0074126F"/>
    <w:rsid w:val="00780DE7"/>
    <w:rsid w:val="007B3C67"/>
    <w:rsid w:val="00814F53"/>
    <w:rsid w:val="00874AB2"/>
    <w:rsid w:val="00885E28"/>
    <w:rsid w:val="008B20A9"/>
    <w:rsid w:val="008C7DE6"/>
    <w:rsid w:val="008D75D3"/>
    <w:rsid w:val="008E5E96"/>
    <w:rsid w:val="00914A8E"/>
    <w:rsid w:val="00943D31"/>
    <w:rsid w:val="00950B90"/>
    <w:rsid w:val="009F5DCA"/>
    <w:rsid w:val="00AF719D"/>
    <w:rsid w:val="00B744E9"/>
    <w:rsid w:val="00BE327B"/>
    <w:rsid w:val="00BE56D2"/>
    <w:rsid w:val="00C11117"/>
    <w:rsid w:val="00C81240"/>
    <w:rsid w:val="00CA4571"/>
    <w:rsid w:val="00CE57D6"/>
    <w:rsid w:val="00D36973"/>
    <w:rsid w:val="00D41025"/>
    <w:rsid w:val="00D948A0"/>
    <w:rsid w:val="00DA3B46"/>
    <w:rsid w:val="00E058A5"/>
    <w:rsid w:val="00E377F8"/>
    <w:rsid w:val="00E4136A"/>
    <w:rsid w:val="00E90C99"/>
    <w:rsid w:val="00E96987"/>
    <w:rsid w:val="00EE3D69"/>
    <w:rsid w:val="00F5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Carol Seid</cp:lastModifiedBy>
  <cp:revision>2</cp:revision>
  <dcterms:created xsi:type="dcterms:W3CDTF">2011-10-17T00:35:00Z</dcterms:created>
  <dcterms:modified xsi:type="dcterms:W3CDTF">2011-10-17T00:35:00Z</dcterms:modified>
</cp:coreProperties>
</file>