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8E" w:rsidRPr="00F16CEC" w:rsidRDefault="001E7097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F16CEC">
        <w:rPr>
          <w:rFonts w:asciiTheme="minorHAnsi" w:hAnsiTheme="minorHAnsi" w:cstheme="minorHAnsi"/>
          <w:sz w:val="20"/>
          <w:szCs w:val="20"/>
        </w:rPr>
        <w:t>2</w:t>
      </w:r>
      <w:r w:rsidRPr="00F16CEC">
        <w:rPr>
          <w:rFonts w:asciiTheme="minorHAnsi" w:hAnsiTheme="minorHAnsi" w:cstheme="minorHAnsi"/>
          <w:sz w:val="20"/>
          <w:szCs w:val="20"/>
          <w:vertAlign w:val="superscript"/>
        </w:rPr>
        <w:t>nd</w:t>
      </w:r>
      <w:r w:rsidRPr="00F16CEC">
        <w:rPr>
          <w:rFonts w:asciiTheme="minorHAnsi" w:hAnsiTheme="minorHAnsi" w:cstheme="minorHAnsi"/>
          <w:sz w:val="20"/>
          <w:szCs w:val="20"/>
        </w:rPr>
        <w:t xml:space="preserve"> </w:t>
      </w:r>
      <w:r w:rsidR="00914A8E" w:rsidRPr="00F16CEC">
        <w:rPr>
          <w:rFonts w:asciiTheme="minorHAnsi" w:hAnsiTheme="minorHAnsi" w:cstheme="minorHAnsi"/>
          <w:sz w:val="20"/>
          <w:szCs w:val="20"/>
        </w:rPr>
        <w:t xml:space="preserve"> Reading</w:t>
      </w:r>
      <w:proofErr w:type="gramEnd"/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3420"/>
        <w:gridCol w:w="3654"/>
        <w:gridCol w:w="3654"/>
      </w:tblGrid>
      <w:tr w:rsidR="00F16CEC" w:rsidRPr="00F16CEC" w:rsidTr="008C7DE6">
        <w:tc>
          <w:tcPr>
            <w:tcW w:w="3888" w:type="dxa"/>
          </w:tcPr>
          <w:p w:rsidR="00451F0D" w:rsidRPr="00F16CEC" w:rsidRDefault="00451F0D" w:rsidP="00451F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Reading Standards for Literature</w:t>
            </w:r>
          </w:p>
        </w:tc>
        <w:tc>
          <w:tcPr>
            <w:tcW w:w="3420" w:type="dxa"/>
          </w:tcPr>
          <w:p w:rsidR="00451F0D" w:rsidRPr="00F16CEC" w:rsidRDefault="00451F0D" w:rsidP="008C7D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451F0D" w:rsidRPr="00F16CEC" w:rsidRDefault="00451F0D" w:rsidP="008C7D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451F0D" w:rsidRPr="00F16CEC" w:rsidRDefault="00451F0D" w:rsidP="008C7D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8C7DE6" w:rsidRPr="00F16CEC" w:rsidRDefault="008C7DE6" w:rsidP="008C7D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8C7DE6" w:rsidRPr="00F16CEC" w:rsidRDefault="008C7DE6" w:rsidP="008C7D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F16CEC" w:rsidRDefault="008C7DE6" w:rsidP="0028031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F16CEC" w:rsidRDefault="00C37442" w:rsidP="008C7D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Items to Note</w:t>
            </w:r>
          </w:p>
        </w:tc>
      </w:tr>
      <w:tr w:rsidR="00F16CEC" w:rsidRPr="00F16CEC" w:rsidTr="008C7DE6">
        <w:tc>
          <w:tcPr>
            <w:tcW w:w="3888" w:type="dxa"/>
          </w:tcPr>
          <w:p w:rsidR="008C7DE6" w:rsidRPr="00F16CEC" w:rsidRDefault="008C7DE6" w:rsidP="00914A8E">
            <w:pPr>
              <w:tabs>
                <w:tab w:val="center" w:pos="1719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8C7DE6" w:rsidRPr="00F16CEC" w:rsidRDefault="008C7DE6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F16CEC" w:rsidRDefault="00127F34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8C7DE6" w:rsidRPr="00F16CEC" w:rsidRDefault="008C7DE6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RL.2.1. Ask and answer such questions as who, what, where, when, why, and how to demonstrate understanding of key details in a text.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Asks and answers questions to demonstrate understanding of key details in a text.</w:t>
            </w:r>
          </w:p>
        </w:tc>
        <w:tc>
          <w:tcPr>
            <w:tcW w:w="3654" w:type="dxa"/>
          </w:tcPr>
          <w:p w:rsidR="003C7555" w:rsidRPr="00F16CEC" w:rsidRDefault="00C37442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Fiction Benchmark Assessments – Part 2:  Comprehension Conversati</w:t>
            </w: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A662D" w:rsidRPr="00F16CEC">
              <w:rPr>
                <w:rFonts w:asciiTheme="minorHAnsi" w:hAnsiTheme="minorHAnsi" w:cstheme="minorHAnsi"/>
                <w:sz w:val="20"/>
                <w:szCs w:val="20"/>
              </w:rPr>
              <w:t>n Score 0-7</w:t>
            </w: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812E7" w:rsidRPr="00F16CEC" w:rsidRDefault="002812E7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12E7" w:rsidRPr="00F16CEC" w:rsidRDefault="002812E7" w:rsidP="00280313">
            <w:pPr>
              <w:pStyle w:val="NoSpacing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C37442" w:rsidRDefault="00C37442" w:rsidP="00C37442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Will be included on the District Spreadsheet:  </w:t>
            </w:r>
          </w:p>
          <w:p w:rsidR="00C768BB" w:rsidRPr="00F16CEC" w:rsidRDefault="00C768BB" w:rsidP="00540F1A">
            <w:p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From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Fountas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Pinnell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Benchmark Assessments</w:t>
            </w:r>
          </w:p>
          <w:p w:rsidR="00C37442" w:rsidRPr="00F16CEC" w:rsidRDefault="00C37442" w:rsidP="00540F1A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color w:val="FF0000"/>
                <w:sz w:val="20"/>
                <w:szCs w:val="20"/>
              </w:rPr>
            </w:pPr>
            <w:r w:rsidRPr="00F16CEC">
              <w:rPr>
                <w:rFonts w:cstheme="minorHAnsi"/>
                <w:color w:val="FF0000"/>
                <w:sz w:val="20"/>
                <w:szCs w:val="20"/>
              </w:rPr>
              <w:t>Level</w:t>
            </w:r>
          </w:p>
          <w:p w:rsidR="00C37442" w:rsidRPr="00F16CEC" w:rsidRDefault="00C37442" w:rsidP="00540F1A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color w:val="FF0000"/>
                <w:sz w:val="20"/>
                <w:szCs w:val="20"/>
              </w:rPr>
            </w:pPr>
            <w:r w:rsidRPr="00F16CEC">
              <w:rPr>
                <w:rFonts w:cstheme="minorHAnsi"/>
                <w:color w:val="FF0000"/>
                <w:sz w:val="20"/>
                <w:szCs w:val="20"/>
              </w:rPr>
              <w:t xml:space="preserve">Fluency Score (Level C and Above) </w:t>
            </w:r>
          </w:p>
          <w:p w:rsidR="00C37442" w:rsidRPr="00F16CEC" w:rsidRDefault="00C37442" w:rsidP="00540F1A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color w:val="FF0000"/>
                <w:sz w:val="20"/>
                <w:szCs w:val="20"/>
              </w:rPr>
            </w:pPr>
            <w:r w:rsidRPr="00F16CEC">
              <w:rPr>
                <w:rFonts w:cstheme="minorHAnsi"/>
                <w:color w:val="FF0000"/>
                <w:sz w:val="20"/>
                <w:szCs w:val="20"/>
              </w:rPr>
              <w:t>Comprehension/Retelling Score</w:t>
            </w:r>
          </w:p>
          <w:p w:rsidR="003C7555" w:rsidRPr="00F16CEC" w:rsidRDefault="003C7555" w:rsidP="00C3744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RL.2.2. Recount stories, including fables and folktales from diverse cultures, and determine their central message, lesson, or moral.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Retells stories and determines central message, lesson or moral.</w:t>
            </w:r>
          </w:p>
        </w:tc>
        <w:tc>
          <w:tcPr>
            <w:tcW w:w="3654" w:type="dxa"/>
          </w:tcPr>
          <w:p w:rsidR="00AE2FCA" w:rsidRPr="00F16CEC" w:rsidRDefault="00C37442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Fiction Benchmark Assessments – Part 2:  Comprehension Conversatio</w:t>
            </w:r>
            <w:r w:rsidR="005A662D" w:rsidRPr="00F16CEC">
              <w:rPr>
                <w:rFonts w:asciiTheme="minorHAnsi" w:hAnsiTheme="minorHAnsi" w:cstheme="minorHAnsi"/>
                <w:sz w:val="20"/>
                <w:szCs w:val="20"/>
              </w:rPr>
              <w:t>n Score 0-7</w:t>
            </w: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8540C" w:rsidRPr="00F16CEC" w:rsidRDefault="00F8540C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8540C" w:rsidRPr="00F16CEC" w:rsidRDefault="00F8540C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Retelling Rubric for Fiction</w:t>
            </w:r>
          </w:p>
          <w:p w:rsidR="00F8540C" w:rsidRPr="00F16CEC" w:rsidRDefault="00F8540C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634268" w:rsidRPr="00F16CEC" w:rsidRDefault="00634268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RL.2.3. Describe how characters in a story respond to major events and challenges.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Describes how characters in a story respond to major events.</w:t>
            </w:r>
          </w:p>
        </w:tc>
        <w:tc>
          <w:tcPr>
            <w:tcW w:w="3654" w:type="dxa"/>
          </w:tcPr>
          <w:p w:rsidR="00AE2FCA" w:rsidRPr="00F16CEC" w:rsidRDefault="00C37442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Fiction Benchmark Assessments – Part 2:  Comprehension Conversatio</w:t>
            </w:r>
            <w:r w:rsidR="005A662D" w:rsidRPr="00F16CEC">
              <w:rPr>
                <w:rFonts w:asciiTheme="minorHAnsi" w:hAnsiTheme="minorHAnsi" w:cstheme="minorHAnsi"/>
                <w:sz w:val="20"/>
                <w:szCs w:val="20"/>
              </w:rPr>
              <w:t>n Score 0-7</w:t>
            </w: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8540C" w:rsidRPr="00F16CEC" w:rsidRDefault="00F8540C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8540C" w:rsidRPr="00F16CEC" w:rsidRDefault="00F8540C" w:rsidP="00F8540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Retelling Rubric for Fiction</w:t>
            </w:r>
          </w:p>
          <w:p w:rsidR="00F8540C" w:rsidRPr="00F16CEC" w:rsidRDefault="00F8540C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RL.2.IA.1.Employ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3654" w:type="dxa"/>
          </w:tcPr>
          <w:p w:rsidR="002812E7" w:rsidRPr="00F16CEC" w:rsidRDefault="00DB6E4F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Fiction Benchmark Assessments – Part 2:  Comprehension Conversatio</w:t>
            </w:r>
            <w:r w:rsidR="005A662D" w:rsidRPr="00F16CEC">
              <w:rPr>
                <w:rFonts w:asciiTheme="minorHAnsi" w:hAnsiTheme="minorHAnsi" w:cstheme="minorHAnsi"/>
                <w:sz w:val="20"/>
                <w:szCs w:val="20"/>
              </w:rPr>
              <w:t>n Score 0-7</w:t>
            </w:r>
          </w:p>
          <w:p w:rsidR="00560E7D" w:rsidRPr="00F16CEC" w:rsidRDefault="00560E7D" w:rsidP="00560E7D">
            <w:pPr>
              <w:pStyle w:val="NoSpacing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Optional Formative Assessments:</w:t>
            </w:r>
          </w:p>
          <w:p w:rsidR="002812E7" w:rsidRPr="00F16CEC" w:rsidRDefault="00560E7D" w:rsidP="00560E7D">
            <w:pPr>
              <w:pStyle w:val="NoSpacing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Graphic organizers to support comprehension strategy use</w:t>
            </w:r>
          </w:p>
          <w:p w:rsidR="002812E7" w:rsidRPr="00F16CEC" w:rsidRDefault="002812E7" w:rsidP="00280313">
            <w:pPr>
              <w:pStyle w:val="NoSpacing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E96987" w:rsidRPr="00F16CEC" w:rsidRDefault="00E96987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RL.2.4. Describe how words and phrases (e.g., regular beats, alliteration, rhymes, repeated lines) supply rhythm and meaning in a story, poem, or song.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Describes how words and phrases supply rhythm and meaning.</w:t>
            </w:r>
          </w:p>
        </w:tc>
        <w:tc>
          <w:tcPr>
            <w:tcW w:w="3654" w:type="dxa"/>
          </w:tcPr>
          <w:p w:rsidR="007C36C2" w:rsidRPr="00F16CEC" w:rsidRDefault="00AC222F" w:rsidP="00AC222F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>Observations during shared and small group reading</w:t>
            </w:r>
            <w:r w:rsidR="00000A03" w:rsidRPr="00F16CEC">
              <w:rPr>
                <w:rFonts w:cs="Calibri"/>
                <w:sz w:val="20"/>
                <w:szCs w:val="20"/>
              </w:rPr>
              <w:t xml:space="preserve"> and writing</w:t>
            </w:r>
          </w:p>
          <w:p w:rsidR="00AC222F" w:rsidRPr="00F16CEC" w:rsidRDefault="00AC222F" w:rsidP="00AC222F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 xml:space="preserve">Prompt: </w:t>
            </w:r>
            <w:r w:rsidR="00000A03" w:rsidRPr="00F16CEC">
              <w:rPr>
                <w:rFonts w:cs="Calibri"/>
                <w:sz w:val="20"/>
                <w:szCs w:val="20"/>
              </w:rPr>
              <w:t xml:space="preserve">How does the author use words and phrases in special ways?  </w:t>
            </w:r>
          </w:p>
        </w:tc>
        <w:tc>
          <w:tcPr>
            <w:tcW w:w="3654" w:type="dxa"/>
          </w:tcPr>
          <w:p w:rsidR="0002779E" w:rsidRPr="00F16CEC" w:rsidRDefault="0002779E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RL.2.5. Describe the overall structure of a story, including describing how the beginning introduces the story and the </w:t>
            </w: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lastRenderedPageBreak/>
              <w:t>ending concludes the action.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lastRenderedPageBreak/>
              <w:t>Describes the overall structure of a story, including beginning, middle and ending.</w:t>
            </w:r>
          </w:p>
        </w:tc>
        <w:tc>
          <w:tcPr>
            <w:tcW w:w="3654" w:type="dxa"/>
          </w:tcPr>
          <w:p w:rsidR="008D1006" w:rsidRPr="00F16CEC" w:rsidRDefault="008D1006" w:rsidP="008D100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Fiction Benchmark Assessments – Part 2:  Comprehension Conversation Score 0-7</w:t>
            </w:r>
          </w:p>
          <w:p w:rsidR="00AE2FCA" w:rsidRPr="00F16CEC" w:rsidRDefault="008D1006" w:rsidP="008D1006">
            <w:pPr>
              <w:spacing w:after="0" w:line="240" w:lineRule="auto"/>
              <w:contextualSpacing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lastRenderedPageBreak/>
              <w:t>Add follow-up question as needed.  Prompt: Let’s think about how the story started.  How did we meet the characters?  How/when was the problem set up?  How/when was it solved?</w:t>
            </w:r>
          </w:p>
          <w:p w:rsidR="00F8540C" w:rsidRPr="00F16CEC" w:rsidRDefault="00F8540C" w:rsidP="008D1006">
            <w:pPr>
              <w:spacing w:after="0" w:line="240" w:lineRule="auto"/>
              <w:contextualSpacing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</w:p>
          <w:p w:rsidR="00F8540C" w:rsidRPr="00F16CEC" w:rsidRDefault="00F8540C" w:rsidP="00F8540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Retelling Rubric for Fiction</w:t>
            </w:r>
          </w:p>
          <w:p w:rsidR="00F8540C" w:rsidRPr="00F16CEC" w:rsidRDefault="00F8540C" w:rsidP="008D1006">
            <w:pPr>
              <w:spacing w:after="0" w:line="240" w:lineRule="auto"/>
              <w:contextualSpacing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654" w:type="dxa"/>
          </w:tcPr>
          <w:p w:rsidR="00377D43" w:rsidRPr="00F16CEC" w:rsidRDefault="00377D43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lastRenderedPageBreak/>
              <w:t>RL.2.6. Acknowledge differences in the points of view of characters, including by speaking in a different voice for each character when reading dialogue aloud.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Describes differences in the points of view of characters.</w:t>
            </w:r>
          </w:p>
        </w:tc>
        <w:tc>
          <w:tcPr>
            <w:tcW w:w="3654" w:type="dxa"/>
          </w:tcPr>
          <w:p w:rsidR="008D0082" w:rsidRPr="00F16CEC" w:rsidRDefault="008D0082" w:rsidP="008D0082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Fiction Benchmark Assessments – Part 2:  Comprehension Conversation Score 0-7</w:t>
            </w:r>
          </w:p>
          <w:p w:rsidR="007C36C2" w:rsidRPr="00F16CEC" w:rsidRDefault="008D0082" w:rsidP="00F606B1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Add follow-up question as needed.  Prompt: </w:t>
            </w:r>
            <w:r w:rsidR="00F606B1"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How is the character feeling?</w:t>
            </w:r>
          </w:p>
        </w:tc>
        <w:tc>
          <w:tcPr>
            <w:tcW w:w="3654" w:type="dxa"/>
          </w:tcPr>
          <w:p w:rsidR="00377D43" w:rsidRPr="00F16CEC" w:rsidRDefault="00377D43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7305A5" w:rsidRPr="00F16CEC" w:rsidRDefault="00127F34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E96987" w:rsidRPr="00F16CEC" w:rsidRDefault="00E96987" w:rsidP="00E90C99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1E70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RL.2.7. Use information gained from the illustrations and words in a print or digital text to demonstrate understanding of its characters, setting, or plot.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Uses information gained from illustrations and text to demonstrate understanding of its characters, setting, or plot.</w:t>
            </w:r>
          </w:p>
        </w:tc>
        <w:tc>
          <w:tcPr>
            <w:tcW w:w="3654" w:type="dxa"/>
          </w:tcPr>
          <w:p w:rsidR="009D6EF8" w:rsidRPr="00F16CEC" w:rsidRDefault="009D6EF8" w:rsidP="009D6EF8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Fiction Benchmark Assessments – Part 2:  Comprehension Conversation Score 0-7</w:t>
            </w:r>
          </w:p>
          <w:p w:rsidR="009D6EF8" w:rsidRPr="00F16CEC" w:rsidRDefault="009D6EF8" w:rsidP="009D6EF8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Add follow-up question as needed.</w:t>
            </w:r>
          </w:p>
          <w:p w:rsidR="00941422" w:rsidRPr="00F16CEC" w:rsidRDefault="000C79BB" w:rsidP="000C79BB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16CEC">
              <w:rPr>
                <w:rFonts w:cs="Calibri"/>
                <w:sz w:val="20"/>
                <w:szCs w:val="20"/>
              </w:rPr>
              <w:t>Prompt:  What does the illustration tell us</w:t>
            </w:r>
            <w:r w:rsidRPr="00F16CEC">
              <w:rPr>
                <w:rFonts w:cs="Calibri"/>
                <w:sz w:val="20"/>
                <w:szCs w:val="20"/>
              </w:rPr>
              <w:t xml:space="preserve"> about the characters/setting/event/ problem/solution?</w:t>
            </w:r>
            <w:r w:rsidRPr="00F16CEC">
              <w:rPr>
                <w:rFonts w:cs="Calibri"/>
                <w:sz w:val="20"/>
                <w:szCs w:val="20"/>
              </w:rPr>
              <w:t xml:space="preserve">  </w:t>
            </w:r>
          </w:p>
        </w:tc>
        <w:tc>
          <w:tcPr>
            <w:tcW w:w="3654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RL.2.8. (Not applicable to literature)</w:t>
            </w:r>
          </w:p>
        </w:tc>
        <w:tc>
          <w:tcPr>
            <w:tcW w:w="3420" w:type="dxa"/>
          </w:tcPr>
          <w:p w:rsidR="00D41025" w:rsidRPr="00F16CEC" w:rsidRDefault="00941422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D41025" w:rsidRPr="00F16CEC" w:rsidRDefault="00941422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D41025" w:rsidRPr="00F16CEC" w:rsidRDefault="00941422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---</w:t>
            </w: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RL.2.9. Compare and contrast two or more versions of the same story (e.g., Cinderella stories) by different authors or from different cultures.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Compares and contrasts two or more versions of the same story.</w:t>
            </w:r>
          </w:p>
        </w:tc>
        <w:tc>
          <w:tcPr>
            <w:tcW w:w="3654" w:type="dxa"/>
          </w:tcPr>
          <w:p w:rsidR="008D1006" w:rsidRPr="00F16CEC" w:rsidRDefault="008D1006" w:rsidP="008D1006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>Observations during shared and small group reading</w:t>
            </w:r>
          </w:p>
          <w:p w:rsidR="008D1006" w:rsidRPr="00F16CEC" w:rsidRDefault="008D1006" w:rsidP="008D1006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 xml:space="preserve">Prompt:  Let’s compare and contrast the </w:t>
            </w:r>
            <w:r w:rsidRPr="00F16CEC">
              <w:rPr>
                <w:rFonts w:cs="Calibri"/>
                <w:sz w:val="20"/>
                <w:szCs w:val="20"/>
              </w:rPr>
              <w:t>two stories</w:t>
            </w:r>
            <w:r w:rsidRPr="00F16CEC">
              <w:rPr>
                <w:rFonts w:cs="Calibri"/>
                <w:sz w:val="20"/>
                <w:szCs w:val="20"/>
              </w:rPr>
              <w:t>.</w:t>
            </w:r>
            <w:r w:rsidRPr="00F16CEC">
              <w:rPr>
                <w:rFonts w:cs="Calibri"/>
                <w:sz w:val="20"/>
                <w:szCs w:val="20"/>
              </w:rPr>
              <w:t xml:space="preserve">  What is </w:t>
            </w:r>
            <w:proofErr w:type="gramStart"/>
            <w:r w:rsidRPr="00F16CEC">
              <w:rPr>
                <w:rFonts w:cs="Calibri"/>
                <w:sz w:val="20"/>
                <w:szCs w:val="20"/>
              </w:rPr>
              <w:t>similar/different</w:t>
            </w:r>
            <w:proofErr w:type="gramEnd"/>
            <w:r w:rsidRPr="00F16CEC">
              <w:rPr>
                <w:rFonts w:cs="Calibri"/>
                <w:sz w:val="20"/>
                <w:szCs w:val="20"/>
              </w:rPr>
              <w:t xml:space="preserve"> about the settings/characters/endings?</w:t>
            </w:r>
            <w:r w:rsidRPr="00F16CEC">
              <w:rPr>
                <w:rFonts w:cs="Calibri"/>
                <w:sz w:val="20"/>
                <w:szCs w:val="20"/>
              </w:rPr>
              <w:t xml:space="preserve">  </w:t>
            </w:r>
          </w:p>
          <w:p w:rsidR="008D1006" w:rsidRPr="00F16CEC" w:rsidRDefault="008D1006" w:rsidP="008D1006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</w:p>
          <w:p w:rsidR="00941422" w:rsidRPr="00F16CEC" w:rsidRDefault="008D1006" w:rsidP="00754AE6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 xml:space="preserve">Optional Formative Assessments: Venn Diagrams, </w:t>
            </w:r>
            <w:r w:rsidR="00754AE6" w:rsidRPr="00F16CEC">
              <w:rPr>
                <w:rFonts w:cs="Calibri"/>
                <w:sz w:val="20"/>
                <w:szCs w:val="20"/>
              </w:rPr>
              <w:t>T-Charts</w:t>
            </w:r>
            <w:r w:rsidRPr="00F16CEC">
              <w:rPr>
                <w:rFonts w:cs="Calibri"/>
                <w:sz w:val="20"/>
                <w:szCs w:val="20"/>
              </w:rPr>
              <w:t xml:space="preserve">   </w:t>
            </w:r>
          </w:p>
        </w:tc>
        <w:tc>
          <w:tcPr>
            <w:tcW w:w="3654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E96987" w:rsidRPr="00F16CEC" w:rsidRDefault="00E96987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D41025" w:rsidRPr="00F16CEC" w:rsidRDefault="00D41025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RL.2.10. By the end of the </w:t>
            </w:r>
            <w:proofErr w:type="gramStart"/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year,</w:t>
            </w:r>
            <w:proofErr w:type="gramEnd"/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 read and comprehend literature, including stories and poetry,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D41025" w:rsidRPr="00F16CEC" w:rsidRDefault="00D41025" w:rsidP="002B0F2B">
            <w:pPr>
              <w:pStyle w:val="NoSpacing"/>
              <w:ind w:left="41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Reads and comprehends second grade level stories and poetry independently and proficiently.</w:t>
            </w:r>
          </w:p>
          <w:p w:rsidR="00D41025" w:rsidRPr="00F16CEC" w:rsidRDefault="00D41025" w:rsidP="002B0F2B">
            <w:pPr>
              <w:pStyle w:val="NoSpacing"/>
              <w:ind w:left="4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41025" w:rsidRPr="00F16CEC" w:rsidRDefault="00D41025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Enjoys reading to self and others.</w:t>
            </w:r>
          </w:p>
        </w:tc>
        <w:tc>
          <w:tcPr>
            <w:tcW w:w="3654" w:type="dxa"/>
          </w:tcPr>
          <w:p w:rsidR="004D69F8" w:rsidRPr="00F16CEC" w:rsidRDefault="004D69F8" w:rsidP="004D69F8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cs="Calibr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cs="Calibr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</w:t>
            </w:r>
            <w:r w:rsidRPr="00F16CEC">
              <w:rPr>
                <w:rFonts w:cs="Calibri"/>
                <w:sz w:val="20"/>
                <w:szCs w:val="20"/>
              </w:rPr>
              <w:t>Fiction</w:t>
            </w:r>
            <w:r w:rsidRPr="00F16CEC">
              <w:rPr>
                <w:rFonts w:cs="Calibri"/>
                <w:sz w:val="20"/>
                <w:szCs w:val="20"/>
              </w:rPr>
              <w:t xml:space="preserve"> Benchmark Assessments</w:t>
            </w:r>
          </w:p>
          <w:p w:rsidR="00127F34" w:rsidRPr="00F16CEC" w:rsidRDefault="00127F34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463527" w:rsidRPr="00F16CEC" w:rsidRDefault="0046352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E96987" w:rsidRPr="00F16CEC" w:rsidRDefault="00451F0D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Reading Standards for </w:t>
            </w:r>
            <w:r w:rsidR="00E96987"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Informational Text</w:t>
            </w:r>
          </w:p>
        </w:tc>
        <w:tc>
          <w:tcPr>
            <w:tcW w:w="3420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E96987" w:rsidRPr="00F16CEC" w:rsidRDefault="00E96987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F16CEC" w:rsidRDefault="00E9698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B263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F16CEC" w:rsidRDefault="00780DE7" w:rsidP="00B263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F16CEC" w:rsidRDefault="00780DE7" w:rsidP="0028031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F16CEC" w:rsidRDefault="00780DE7" w:rsidP="00B2636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u w:val="single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780DE7" w:rsidRPr="00F16CEC" w:rsidRDefault="00780DE7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RI.2.1. Ask and answer such questions as </w:t>
            </w:r>
            <w:r w:rsidRPr="00F16CEC">
              <w:rPr>
                <w:rFonts w:asciiTheme="minorHAnsi" w:eastAsia="MS PGothic" w:hAnsiTheme="minorHAnsi" w:cstheme="minorHAnsi"/>
                <w:bCs/>
                <w:i/>
                <w:sz w:val="20"/>
                <w:szCs w:val="20"/>
              </w:rPr>
              <w:t>who, what, where, when, why,</w:t>
            </w: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 and </w:t>
            </w:r>
            <w:r w:rsidRPr="00F16CEC">
              <w:rPr>
                <w:rFonts w:asciiTheme="minorHAnsi" w:eastAsia="MS PGothic" w:hAnsiTheme="minorHAnsi" w:cstheme="minorHAnsi"/>
                <w:bCs/>
                <w:i/>
                <w:sz w:val="20"/>
                <w:szCs w:val="20"/>
              </w:rPr>
              <w:t>how</w:t>
            </w: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 to demonstrate understanding of key details in </w:t>
            </w: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lastRenderedPageBreak/>
              <w:t>a text.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lastRenderedPageBreak/>
              <w:t>Asks and answers questions to demonstrate understanding of key details in a text.</w:t>
            </w:r>
          </w:p>
        </w:tc>
        <w:tc>
          <w:tcPr>
            <w:tcW w:w="3654" w:type="dxa"/>
          </w:tcPr>
          <w:p w:rsidR="00AE2FCA" w:rsidRPr="00F16CEC" w:rsidRDefault="00AF32D8" w:rsidP="00280313">
            <w:pPr>
              <w:spacing w:after="0" w:line="240" w:lineRule="auto"/>
              <w:contextualSpacing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proofErr w:type="spellStart"/>
            <w:r w:rsidRPr="00F16CEC">
              <w:rPr>
                <w:rFonts w:cs="Calibr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cs="Calibr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Nonfiction Benchmark Assessments – Part 2:  Comprehension Conversation                     </w:t>
            </w:r>
            <w:r w:rsidRPr="00F16CEC">
              <w:rPr>
                <w:rFonts w:cs="Calibri"/>
                <w:sz w:val="20"/>
                <w:szCs w:val="20"/>
              </w:rPr>
              <w:lastRenderedPageBreak/>
              <w:t>Score 0-7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lastRenderedPageBreak/>
              <w:t>RI.2.2. Identify the main topic of a multi-paragraph text as well as the focus of specific paragraphs within the text.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Identifies the main topic(s) of a multi-paragraph text.</w:t>
            </w:r>
          </w:p>
        </w:tc>
        <w:tc>
          <w:tcPr>
            <w:tcW w:w="3654" w:type="dxa"/>
          </w:tcPr>
          <w:p w:rsidR="00580988" w:rsidRPr="00F16CEC" w:rsidRDefault="00AF32D8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proofErr w:type="spellStart"/>
            <w:r w:rsidRPr="00F16CEC">
              <w:rPr>
                <w:rFonts w:cs="Calibr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cs="Calibr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Nonfiction Benchmark Assessments – Part 2:  Comprehension Conversation                     Score 0-7</w:t>
            </w:r>
          </w:p>
          <w:p w:rsidR="00676B40" w:rsidRPr="00F16CEC" w:rsidRDefault="00676B40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</w:p>
          <w:p w:rsidR="00676B40" w:rsidRPr="00F16CEC" w:rsidRDefault="00676B40" w:rsidP="00676B40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Retelling Rubric for </w:t>
            </w: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Nonfiction</w:t>
            </w:r>
          </w:p>
          <w:p w:rsidR="00676B40" w:rsidRPr="00F16CEC" w:rsidRDefault="00676B40" w:rsidP="00280313">
            <w:pPr>
              <w:spacing w:after="0" w:line="240" w:lineRule="auto"/>
              <w:contextualSpacing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RI.2.3. Describe the connection between a series of historical events, scientific ideas or concepts, or steps in technical procedures in a text.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Describes the connection between a series of historical events, ideas, concepts, or steps in technical procedures in a text.</w:t>
            </w:r>
          </w:p>
        </w:tc>
        <w:tc>
          <w:tcPr>
            <w:tcW w:w="3654" w:type="dxa"/>
          </w:tcPr>
          <w:p w:rsidR="00957D13" w:rsidRPr="00F16CEC" w:rsidRDefault="0085162B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Observations during shared and small group reading</w:t>
            </w:r>
          </w:p>
          <w:p w:rsidR="00957D13" w:rsidRPr="00F16CEC" w:rsidRDefault="00280313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Prompt: Let’s describe the parts of this (event, concept, </w:t>
            </w:r>
            <w:proofErr w:type="gram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set</w:t>
            </w:r>
            <w:proofErr w:type="gram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of procedures).  How does one part influence the next?</w:t>
            </w:r>
          </w:p>
          <w:p w:rsidR="00280313" w:rsidRPr="00F16CEC" w:rsidRDefault="00280313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0313" w:rsidRPr="00F16CEC" w:rsidRDefault="00280313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Optional Formative Assessments: Cause-and-Effect Web or Chain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RI.2.IA.1. 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3654" w:type="dxa"/>
          </w:tcPr>
          <w:p w:rsidR="00580988" w:rsidRPr="00F16CEC" w:rsidRDefault="0085162B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proofErr w:type="spellStart"/>
            <w:r w:rsidRPr="00F16CEC">
              <w:rPr>
                <w:rFonts w:cs="Calibr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cs="Calibr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Nonfiction Benchmark Assessments – Part 2:  Comprehension Conversation                     Score 0-7</w:t>
            </w:r>
          </w:p>
          <w:p w:rsidR="00676B40" w:rsidRPr="00F16CEC" w:rsidRDefault="00676B40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</w:p>
          <w:p w:rsidR="0085162B" w:rsidRPr="00F16CEC" w:rsidRDefault="0085162B" w:rsidP="00280313">
            <w:pPr>
              <w:pStyle w:val="NoSpacing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Optional Formative Assessments:</w:t>
            </w:r>
          </w:p>
          <w:p w:rsidR="0085162B" w:rsidRPr="00F16CEC" w:rsidRDefault="0085162B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Graphic </w:t>
            </w:r>
            <w:r w:rsidR="00280313" w:rsidRPr="00F16CEC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rganizers to support comprehension strategy use</w:t>
            </w:r>
          </w:p>
        </w:tc>
        <w:tc>
          <w:tcPr>
            <w:tcW w:w="3654" w:type="dxa"/>
          </w:tcPr>
          <w:p w:rsidR="00780DE7" w:rsidRPr="00F16CEC" w:rsidRDefault="00780DE7" w:rsidP="00D948A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780DE7" w:rsidRPr="00F16CEC" w:rsidRDefault="00127F34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RI.2.4. Determine the meaning of words and phrases in a text relevant to a </w:t>
            </w:r>
            <w:r w:rsidRPr="00F16CEC">
              <w:rPr>
                <w:rFonts w:asciiTheme="minorHAnsi" w:eastAsia="MS PGothic" w:hAnsiTheme="minorHAnsi" w:cstheme="minorHAnsi"/>
                <w:bCs/>
                <w:i/>
                <w:sz w:val="20"/>
                <w:szCs w:val="20"/>
              </w:rPr>
              <w:t>grade 2 topic or subject area.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Determines the meaning of content area vocabulary.</w:t>
            </w:r>
          </w:p>
        </w:tc>
        <w:tc>
          <w:tcPr>
            <w:tcW w:w="3654" w:type="dxa"/>
          </w:tcPr>
          <w:p w:rsidR="00F433FB" w:rsidRPr="00F16CEC" w:rsidRDefault="00F433FB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proofErr w:type="spellStart"/>
            <w:r w:rsidRPr="00F16CEC">
              <w:rPr>
                <w:rFonts w:cs="Calibr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cs="Calibr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Nonfiction Benchmark Assessments – </w:t>
            </w:r>
            <w:r w:rsidRPr="00F16CEC">
              <w:rPr>
                <w:rFonts w:cs="Calibri"/>
                <w:sz w:val="20"/>
                <w:szCs w:val="20"/>
              </w:rPr>
              <w:t>Assessing Vocabulary in Context</w:t>
            </w:r>
          </w:p>
          <w:p w:rsidR="00AE2FCA" w:rsidRPr="00F16CEC" w:rsidRDefault="00AE2FCA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RI.2.5. Know and use various text features (e.g., captions, bold print, subheadings, glossaries, indexes, electronic menus, icons) to locate key facts or information in a text efficiently.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Knows and uses various text features to locate key facts or information.</w:t>
            </w:r>
          </w:p>
        </w:tc>
        <w:tc>
          <w:tcPr>
            <w:tcW w:w="3654" w:type="dxa"/>
          </w:tcPr>
          <w:p w:rsidR="00F433FB" w:rsidRPr="00F16CEC" w:rsidRDefault="00F433FB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proofErr w:type="spellStart"/>
            <w:r w:rsidRPr="00F16CEC">
              <w:rPr>
                <w:rFonts w:cs="Calibr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cs="Calibr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Nonfiction Benchmark Assessments – Part 2:  Comprehension Conversation                     </w:t>
            </w:r>
            <w:r w:rsidR="00515383" w:rsidRPr="00F16CEC">
              <w:rPr>
                <w:rFonts w:cs="Calibri"/>
                <w:sz w:val="20"/>
                <w:szCs w:val="20"/>
              </w:rPr>
              <w:t>Add follow-up question as needed.  Prompt: What text features do you see?  What are they for?  How do they help us?</w:t>
            </w:r>
          </w:p>
          <w:p w:rsidR="00FF1992" w:rsidRPr="00F16CEC" w:rsidRDefault="00FF1992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RI.2.6. Identify the main purpose of a text, including what the author wants to answer, explain, or describe.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Identifies the main purpose of a text.</w:t>
            </w:r>
          </w:p>
        </w:tc>
        <w:tc>
          <w:tcPr>
            <w:tcW w:w="3654" w:type="dxa"/>
          </w:tcPr>
          <w:p w:rsidR="00AE2FCA" w:rsidRPr="00F16CEC" w:rsidRDefault="00F433FB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proofErr w:type="spellStart"/>
            <w:r w:rsidRPr="00F16CEC">
              <w:rPr>
                <w:rFonts w:cs="Calibr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cs="Calibr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Nonfiction Benchmark Assessments – Part 2:  Comprehension Conversation      </w:t>
            </w:r>
            <w:r w:rsidR="00012EFD" w:rsidRPr="00F16CEC">
              <w:rPr>
                <w:rFonts w:cs="Calibri"/>
                <w:sz w:val="20"/>
                <w:szCs w:val="20"/>
              </w:rPr>
              <w:t xml:space="preserve">               </w:t>
            </w:r>
          </w:p>
          <w:p w:rsidR="00012EFD" w:rsidRPr="00F16CEC" w:rsidRDefault="00012EFD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>Add follow-up question as needed.  Prompt: Why do you think the author wrote this text?  What did the author want to explain?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/>
                <w:bCs/>
                <w:sz w:val="20"/>
                <w:szCs w:val="20"/>
              </w:rPr>
              <w:lastRenderedPageBreak/>
              <w:t>Integration of Knowledge and Ideas</w:t>
            </w:r>
          </w:p>
        </w:tc>
        <w:tc>
          <w:tcPr>
            <w:tcW w:w="3420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2A1486" w:rsidRPr="00F16CEC" w:rsidRDefault="009F3DC8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RI.2.7. Explain how specific images (e.g., a diagram showing how a machine works) contribute to and clarify a text.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Explains how images contribute to and clarify a text.</w:t>
            </w:r>
          </w:p>
        </w:tc>
        <w:tc>
          <w:tcPr>
            <w:tcW w:w="3654" w:type="dxa"/>
          </w:tcPr>
          <w:p w:rsidR="009D6EF8" w:rsidRPr="00F16CEC" w:rsidRDefault="009D6EF8" w:rsidP="009D6EF8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Nonfiction</w:t>
            </w: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Benchmark Assessments – Part 2:  Comprehension Conversation </w:t>
            </w:r>
          </w:p>
          <w:p w:rsidR="009D6EF8" w:rsidRPr="00F16CEC" w:rsidRDefault="009D6EF8" w:rsidP="009D6EF8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Add follow-up question as needed.</w:t>
            </w:r>
          </w:p>
          <w:p w:rsidR="00AE2FCA" w:rsidRPr="00F16CEC" w:rsidRDefault="00137275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>P</w:t>
            </w:r>
            <w:r w:rsidR="00F433FB" w:rsidRPr="00F16CEC">
              <w:rPr>
                <w:rFonts w:cs="Calibri"/>
                <w:sz w:val="20"/>
                <w:szCs w:val="20"/>
              </w:rPr>
              <w:t xml:space="preserve">rompt:  </w:t>
            </w:r>
            <w:r w:rsidR="00BC70C5" w:rsidRPr="00F16CEC">
              <w:rPr>
                <w:rFonts w:cs="Calibri"/>
                <w:sz w:val="20"/>
                <w:szCs w:val="20"/>
              </w:rPr>
              <w:t xml:space="preserve">What </w:t>
            </w:r>
            <w:r w:rsidR="005D5241" w:rsidRPr="00F16CEC">
              <w:rPr>
                <w:rFonts w:cs="Calibri"/>
                <w:sz w:val="20"/>
                <w:szCs w:val="20"/>
              </w:rPr>
              <w:t xml:space="preserve">does the illustration/image tell us?  How does it give us an even better understanding than the text alone can give?  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RI.2.8. Describe how reasons support specific points the author makes in a text.</w:t>
            </w:r>
          </w:p>
        </w:tc>
        <w:tc>
          <w:tcPr>
            <w:tcW w:w="3420" w:type="dxa"/>
          </w:tcPr>
          <w:p w:rsidR="00780DE7" w:rsidRPr="00F16CEC" w:rsidRDefault="00780DE7" w:rsidP="00957D1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Describes how </w:t>
            </w:r>
            <w:r w:rsidR="00957D13"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evidence</w:t>
            </w: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 support</w:t>
            </w:r>
            <w:r w:rsidR="00957D13"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s</w:t>
            </w: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 specific points the author makes in a text.</w:t>
            </w:r>
          </w:p>
        </w:tc>
        <w:tc>
          <w:tcPr>
            <w:tcW w:w="3654" w:type="dxa"/>
          </w:tcPr>
          <w:p w:rsidR="00137275" w:rsidRPr="00F16CEC" w:rsidRDefault="00137275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>Observations during shared and small group reading</w:t>
            </w:r>
          </w:p>
          <w:p w:rsidR="00AE2FCA" w:rsidRPr="00F16CEC" w:rsidRDefault="00137275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>P</w:t>
            </w:r>
            <w:r w:rsidR="000E7832" w:rsidRPr="00F16CEC">
              <w:rPr>
                <w:rFonts w:cs="Calibri"/>
                <w:sz w:val="20"/>
                <w:szCs w:val="20"/>
              </w:rPr>
              <w:t xml:space="preserve">rompt:  </w:t>
            </w:r>
            <w:r w:rsidR="00957D13" w:rsidRPr="00F16CEC">
              <w:rPr>
                <w:rFonts w:cs="Calibri"/>
                <w:sz w:val="20"/>
                <w:szCs w:val="20"/>
              </w:rPr>
              <w:t xml:space="preserve">What evidence does the author give to help the reader understand?   </w:t>
            </w:r>
            <w:r w:rsidR="00EF2F6E" w:rsidRPr="00F16CEC">
              <w:rPr>
                <w:rFonts w:cs="Calibri"/>
                <w:sz w:val="20"/>
                <w:szCs w:val="20"/>
              </w:rPr>
              <w:t xml:space="preserve">  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60046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RI.2.9. Compare and contrast the most important points presented by two texts on the same topic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Compares and contrasts the most important points presented in two texts on the same topic.</w:t>
            </w:r>
          </w:p>
        </w:tc>
        <w:tc>
          <w:tcPr>
            <w:tcW w:w="3654" w:type="dxa"/>
          </w:tcPr>
          <w:p w:rsidR="00137275" w:rsidRPr="00F16CEC" w:rsidRDefault="00137275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 xml:space="preserve">Observations </w:t>
            </w:r>
            <w:r w:rsidRPr="00F16CEC">
              <w:rPr>
                <w:rFonts w:cs="Calibri"/>
                <w:sz w:val="20"/>
                <w:szCs w:val="20"/>
              </w:rPr>
              <w:t>duri</w:t>
            </w:r>
            <w:r w:rsidRPr="00F16CEC">
              <w:rPr>
                <w:rFonts w:cs="Calibri"/>
                <w:sz w:val="20"/>
                <w:szCs w:val="20"/>
              </w:rPr>
              <w:t>ng s</w:t>
            </w:r>
            <w:r w:rsidRPr="00F16CEC">
              <w:rPr>
                <w:rFonts w:cs="Calibri"/>
                <w:sz w:val="20"/>
                <w:szCs w:val="20"/>
              </w:rPr>
              <w:t>hared and small group reading</w:t>
            </w:r>
          </w:p>
          <w:p w:rsidR="00137275" w:rsidRPr="00F16CEC" w:rsidRDefault="00137275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>P</w:t>
            </w:r>
            <w:r w:rsidRPr="00F16CEC">
              <w:rPr>
                <w:rFonts w:cs="Calibri"/>
                <w:sz w:val="20"/>
                <w:szCs w:val="20"/>
              </w:rPr>
              <w:t xml:space="preserve">rompt:  </w:t>
            </w:r>
            <w:r w:rsidRPr="00F16CEC">
              <w:rPr>
                <w:rFonts w:cs="Calibri"/>
                <w:sz w:val="20"/>
                <w:szCs w:val="20"/>
              </w:rPr>
              <w:t>Let’s compare and contrast the information we got from the two different texts.</w:t>
            </w:r>
            <w:r w:rsidR="00957D13" w:rsidRPr="00F16CEC">
              <w:rPr>
                <w:rFonts w:cs="Calibri"/>
                <w:sz w:val="20"/>
                <w:szCs w:val="20"/>
              </w:rPr>
              <w:t xml:space="preserve">  </w:t>
            </w:r>
          </w:p>
          <w:p w:rsidR="00137275" w:rsidRPr="00F16CEC" w:rsidRDefault="00137275" w:rsidP="00280313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</w:p>
          <w:p w:rsidR="00FF1992" w:rsidRPr="00F16CEC" w:rsidRDefault="00137275" w:rsidP="00280313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cs="Calibri"/>
                <w:sz w:val="20"/>
                <w:szCs w:val="20"/>
              </w:rPr>
              <w:t>Optional Formative Assessments: Venn Diagrams, Compare-Contrast Matrix</w:t>
            </w:r>
            <w:r w:rsidR="00E72AA6">
              <w:rPr>
                <w:rFonts w:cs="Calibri"/>
                <w:sz w:val="20"/>
                <w:szCs w:val="20"/>
              </w:rPr>
              <w:t>, T-Charts</w:t>
            </w:r>
            <w:r w:rsidR="00957D13" w:rsidRPr="00F16CEC">
              <w:rPr>
                <w:rFonts w:cs="Calibri"/>
                <w:sz w:val="20"/>
                <w:szCs w:val="20"/>
              </w:rPr>
              <w:t xml:space="preserve">   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780DE7" w:rsidRPr="00F16CEC" w:rsidRDefault="009F3DC8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RI.2.10. By the end of </w:t>
            </w:r>
            <w:proofErr w:type="gramStart"/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year,</w:t>
            </w:r>
            <w:proofErr w:type="gramEnd"/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 read and comprehend informational texts, including history/social studies, science, and technical texts,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Reads and comprehends second grade informational text including content area and technical texts independently and proficiently.</w:t>
            </w:r>
          </w:p>
        </w:tc>
        <w:tc>
          <w:tcPr>
            <w:tcW w:w="3654" w:type="dxa"/>
          </w:tcPr>
          <w:p w:rsidR="00780DE7" w:rsidRPr="00F16CEC" w:rsidRDefault="00137275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cs="Calibr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cs="Calibr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Nonfiction Benchmark Assessments</w:t>
            </w:r>
          </w:p>
        </w:tc>
        <w:tc>
          <w:tcPr>
            <w:tcW w:w="3654" w:type="dxa"/>
          </w:tcPr>
          <w:p w:rsidR="00780DE7" w:rsidRPr="00F16CEC" w:rsidRDefault="00780DE7" w:rsidP="00914A8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8C7D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Reading Standards for Foundational Skills</w:t>
            </w:r>
          </w:p>
        </w:tc>
        <w:tc>
          <w:tcPr>
            <w:tcW w:w="3420" w:type="dxa"/>
          </w:tcPr>
          <w:p w:rsidR="00780DE7" w:rsidRPr="00F16CEC" w:rsidRDefault="00780DE7" w:rsidP="008C7D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F16CEC" w:rsidRDefault="00780DE7" w:rsidP="0028031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F16CEC" w:rsidRDefault="00780DE7" w:rsidP="008C7DE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B263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F16CEC" w:rsidRDefault="00780DE7" w:rsidP="00B263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F16CEC" w:rsidRDefault="00780DE7" w:rsidP="0028031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F16CEC" w:rsidRDefault="00780DE7" w:rsidP="00B2636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u w:val="single"/>
              </w:rPr>
            </w:pPr>
          </w:p>
        </w:tc>
      </w:tr>
      <w:tr w:rsidR="00F16CEC" w:rsidRPr="00F16CEC" w:rsidTr="00F16CEC">
        <w:tc>
          <w:tcPr>
            <w:tcW w:w="3888" w:type="dxa"/>
          </w:tcPr>
          <w:p w:rsidR="00780DE7" w:rsidRPr="00F16CEC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RFS.2.1. Print Concepts:  </w:t>
            </w:r>
          </w:p>
          <w:p w:rsidR="00780DE7" w:rsidRPr="00F16CEC" w:rsidRDefault="00780DE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780DE7" w:rsidRPr="00F16CEC" w:rsidRDefault="00F16CEC" w:rsidP="00F16C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-----</w:t>
            </w:r>
          </w:p>
        </w:tc>
        <w:tc>
          <w:tcPr>
            <w:tcW w:w="3654" w:type="dxa"/>
            <w:vAlign w:val="center"/>
          </w:tcPr>
          <w:p w:rsidR="00780DE7" w:rsidRPr="00F16CEC" w:rsidRDefault="00F16CEC" w:rsidP="00F16CE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-----</w:t>
            </w:r>
          </w:p>
        </w:tc>
        <w:tc>
          <w:tcPr>
            <w:tcW w:w="3654" w:type="dxa"/>
          </w:tcPr>
          <w:p w:rsidR="00780DE7" w:rsidRPr="00F16CEC" w:rsidRDefault="00780DE7" w:rsidP="008C7DE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F16CEC">
        <w:tc>
          <w:tcPr>
            <w:tcW w:w="3888" w:type="dxa"/>
          </w:tcPr>
          <w:p w:rsidR="00780DE7" w:rsidRPr="00F16CEC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RFS.2.2. Phonological Awareness:  </w:t>
            </w:r>
          </w:p>
          <w:p w:rsidR="00780DE7" w:rsidRPr="00F16CEC" w:rsidRDefault="00780DE7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780DE7" w:rsidRPr="00F16CEC" w:rsidRDefault="00F16CEC" w:rsidP="00F16C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-----</w:t>
            </w:r>
          </w:p>
        </w:tc>
        <w:tc>
          <w:tcPr>
            <w:tcW w:w="3654" w:type="dxa"/>
            <w:vAlign w:val="center"/>
          </w:tcPr>
          <w:p w:rsidR="00780DE7" w:rsidRPr="00F16CEC" w:rsidRDefault="00F16CEC" w:rsidP="00F16CE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-----</w:t>
            </w:r>
          </w:p>
        </w:tc>
        <w:tc>
          <w:tcPr>
            <w:tcW w:w="3654" w:type="dxa"/>
          </w:tcPr>
          <w:p w:rsidR="00780DE7" w:rsidRPr="00F16CEC" w:rsidRDefault="00780DE7" w:rsidP="008C7DE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16CEC" w:rsidRPr="00F16CEC" w:rsidTr="008C7DE6">
        <w:tc>
          <w:tcPr>
            <w:tcW w:w="3888" w:type="dxa"/>
          </w:tcPr>
          <w:p w:rsidR="00780DE7" w:rsidRPr="00F16CEC" w:rsidRDefault="00780DE7" w:rsidP="001E7097">
            <w:pPr>
              <w:numPr>
                <w:ilvl w:val="0"/>
                <w:numId w:val="6"/>
              </w:numPr>
              <w:spacing w:after="0" w:line="240" w:lineRule="auto"/>
              <w:ind w:left="348" w:hanging="270"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RFS.2.3. Phonics &amp; Word Recognition:  </w:t>
            </w: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780DE7" w:rsidRPr="00F16CEC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Distinguish long and short vowels when reading regularly spelled one-syllable words.</w:t>
            </w:r>
          </w:p>
          <w:p w:rsidR="00780DE7" w:rsidRPr="00F16CEC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 xml:space="preserve">Know spelling-sound </w:t>
            </w: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lastRenderedPageBreak/>
              <w:t>correspondences for additional common vowel teams.</w:t>
            </w:r>
          </w:p>
          <w:p w:rsidR="00780DE7" w:rsidRPr="00F16CEC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Decode regularly spelled two-syllable words with long vowels.</w:t>
            </w:r>
          </w:p>
          <w:p w:rsidR="00780DE7" w:rsidRPr="00F16CEC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Decode words with common prefixes and suffixes.</w:t>
            </w:r>
          </w:p>
          <w:p w:rsidR="00780DE7" w:rsidRPr="00F16CEC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Identify words with inconsistent but common spelling-sound correspondences.</w:t>
            </w:r>
          </w:p>
          <w:p w:rsidR="00780DE7" w:rsidRPr="00F16CEC" w:rsidRDefault="00780DE7" w:rsidP="000E674E">
            <w:pPr>
              <w:numPr>
                <w:ilvl w:val="1"/>
                <w:numId w:val="6"/>
              </w:numPr>
              <w:spacing w:after="0"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Recognize and read grade-approp</w:t>
            </w:r>
            <w:r w:rsidR="000E674E"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riate irregularly spelled words</w:t>
            </w:r>
            <w:r w:rsidR="00242724"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lastRenderedPageBreak/>
              <w:t>Knows and applies second grade level phonics and word analysis skills in decoding words.</w:t>
            </w:r>
          </w:p>
        </w:tc>
        <w:tc>
          <w:tcPr>
            <w:tcW w:w="3654" w:type="dxa"/>
          </w:tcPr>
          <w:p w:rsidR="00E759B1" w:rsidRPr="00F16CEC" w:rsidRDefault="000E674E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asciiTheme="minorHAnsi" w:hAnsiTheme="minorHAnsi" w:cstheme="minorHAnsi"/>
                <w:sz w:val="20"/>
                <w:szCs w:val="20"/>
              </w:rPr>
              <w:t xml:space="preserve"> Benchmark Assessments:  </w:t>
            </w:r>
          </w:p>
          <w:p w:rsidR="000E674E" w:rsidRPr="00F16CEC" w:rsidRDefault="00242724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Phonograms</w:t>
            </w:r>
            <w:r w:rsidR="000E674E" w:rsidRPr="00F16CEC">
              <w:rPr>
                <w:rFonts w:asciiTheme="minorHAnsi" w:hAnsiTheme="minorHAnsi" w:cstheme="minorHAnsi"/>
                <w:sz w:val="20"/>
                <w:szCs w:val="20"/>
              </w:rPr>
              <w:t>, pg. 277-279</w:t>
            </w:r>
          </w:p>
          <w:p w:rsidR="000E674E" w:rsidRPr="00F16CEC" w:rsidRDefault="000E674E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Vowel Clusters, pg. 284-287</w:t>
            </w:r>
          </w:p>
          <w:p w:rsidR="000E674E" w:rsidRPr="00F16CEC" w:rsidRDefault="000E674E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Suffixes, pg. 290-292</w:t>
            </w:r>
          </w:p>
          <w:p w:rsidR="00242724" w:rsidRPr="00F16CEC" w:rsidRDefault="00242724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Grade 2 Word Features List, pg. 308-311</w:t>
            </w:r>
          </w:p>
          <w:p w:rsidR="00242724" w:rsidRPr="00F16CEC" w:rsidRDefault="00242724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200 High Frequency Words, pg. 253-259</w:t>
            </w:r>
          </w:p>
          <w:p w:rsidR="00F3419A" w:rsidRPr="00F16CEC" w:rsidRDefault="00F3419A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419A" w:rsidRPr="00F16CEC" w:rsidRDefault="00F3419A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District-Created Assessments:</w:t>
            </w:r>
          </w:p>
          <w:p w:rsidR="00F3419A" w:rsidRPr="00F16CEC" w:rsidRDefault="00F3419A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Prefixes</w:t>
            </w:r>
          </w:p>
          <w:p w:rsidR="00F3419A" w:rsidRPr="00F16CEC" w:rsidRDefault="00F3419A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t>Two-Syllable Words with Long Vowels</w:t>
            </w:r>
          </w:p>
          <w:p w:rsidR="00F3419A" w:rsidRPr="00F16CEC" w:rsidRDefault="00F3419A" w:rsidP="00280313">
            <w:pPr>
              <w:spacing w:after="0" w:line="240" w:lineRule="auto"/>
              <w:ind w:left="162" w:hanging="16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Default="00F16CEC" w:rsidP="008C7DE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lastRenderedPageBreak/>
              <w:t>Will repla</w:t>
            </w:r>
            <w:r w:rsidR="00DD6DC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ce 10-Minute Written Vocabulary</w:t>
            </w:r>
            <w:r w:rsidR="00E72AA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, </w:t>
            </w:r>
            <w:r w:rsidR="00540F1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Letter ID, </w:t>
            </w:r>
            <w:bookmarkStart w:id="0" w:name="_GoBack"/>
            <w:bookmarkEnd w:id="0"/>
            <w:r w:rsidR="00E72AA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116 Sight Word List</w:t>
            </w:r>
            <w:r w:rsidR="00DD6DC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&amp;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Dictation</w:t>
            </w:r>
          </w:p>
          <w:p w:rsidR="00E72AA6" w:rsidRDefault="00E72AA6" w:rsidP="008C7DE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E72AA6" w:rsidRPr="00F16CEC" w:rsidRDefault="00E72AA6" w:rsidP="008C7DE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Include all </w:t>
            </w:r>
            <w:r w:rsidR="00540F1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phonics &amp; word recognition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assessments on district spreadsheet</w:t>
            </w:r>
          </w:p>
        </w:tc>
      </w:tr>
      <w:tr w:rsidR="00780DE7" w:rsidRPr="00F16CEC" w:rsidTr="008C7DE6">
        <w:tc>
          <w:tcPr>
            <w:tcW w:w="3888" w:type="dxa"/>
          </w:tcPr>
          <w:p w:rsidR="00780DE7" w:rsidRPr="00F16CEC" w:rsidRDefault="00780DE7" w:rsidP="00E96987">
            <w:pPr>
              <w:numPr>
                <w:ilvl w:val="0"/>
                <w:numId w:val="10"/>
              </w:numPr>
              <w:spacing w:after="0" w:line="240" w:lineRule="auto"/>
              <w:ind w:left="354"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RFS.2.4. Fluency:  </w:t>
            </w: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Read with sufficient accuracy and fluency to support comprehension.</w:t>
            </w:r>
          </w:p>
          <w:p w:rsidR="00780DE7" w:rsidRPr="00F16CEC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Read on-level text with purpose and understanding.</w:t>
            </w:r>
          </w:p>
          <w:p w:rsidR="00780DE7" w:rsidRPr="00F16CEC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780DE7" w:rsidRPr="00F16CEC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  <w:tc>
          <w:tcPr>
            <w:tcW w:w="3420" w:type="dxa"/>
          </w:tcPr>
          <w:p w:rsidR="00780DE7" w:rsidRPr="00F16CEC" w:rsidRDefault="00780DE7" w:rsidP="002B0F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6CEC">
              <w:rPr>
                <w:rFonts w:asciiTheme="minorHAnsi" w:eastAsia="MS PGothic" w:hAnsiTheme="minorHAnsi" w:cstheme="minorHAnsi"/>
                <w:bCs/>
                <w:sz w:val="20"/>
                <w:szCs w:val="20"/>
              </w:rPr>
              <w:t>Reads with sufficient accuracy and fluency to support comprehension.</w:t>
            </w:r>
          </w:p>
        </w:tc>
        <w:tc>
          <w:tcPr>
            <w:tcW w:w="3654" w:type="dxa"/>
          </w:tcPr>
          <w:p w:rsidR="00E759B1" w:rsidRPr="00F16CEC" w:rsidRDefault="00AF32D8" w:rsidP="00280313">
            <w:pPr>
              <w:spacing w:after="0" w:line="240" w:lineRule="auto"/>
              <w:ind w:left="-1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16CEC">
              <w:rPr>
                <w:rFonts w:cs="Calibri"/>
                <w:sz w:val="20"/>
                <w:szCs w:val="20"/>
              </w:rPr>
              <w:t>Fountas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 w:rsidRPr="00F16CEC">
              <w:rPr>
                <w:rFonts w:cs="Calibri"/>
                <w:sz w:val="20"/>
                <w:szCs w:val="20"/>
              </w:rPr>
              <w:t>Pinnell</w:t>
            </w:r>
            <w:proofErr w:type="spellEnd"/>
            <w:r w:rsidRPr="00F16CEC">
              <w:rPr>
                <w:rFonts w:cs="Calibri"/>
                <w:sz w:val="20"/>
                <w:szCs w:val="20"/>
              </w:rPr>
              <w:t xml:space="preserve"> Fiction/Nonfiction Benchmark Assessments – Fluency Score beginning at Level C</w:t>
            </w:r>
          </w:p>
        </w:tc>
        <w:tc>
          <w:tcPr>
            <w:tcW w:w="3654" w:type="dxa"/>
          </w:tcPr>
          <w:p w:rsidR="00780DE7" w:rsidRPr="00F16CEC" w:rsidRDefault="00780DE7" w:rsidP="008C7DE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914A8E" w:rsidRDefault="00914A8E" w:rsidP="00914A8E">
      <w:pPr>
        <w:rPr>
          <w:rFonts w:asciiTheme="minorHAnsi" w:hAnsiTheme="minorHAnsi" w:cstheme="minorHAnsi"/>
          <w:sz w:val="20"/>
          <w:szCs w:val="20"/>
        </w:rPr>
      </w:pPr>
    </w:p>
    <w:p w:rsidR="00824EEB" w:rsidRPr="00540F1A" w:rsidRDefault="00824EEB" w:rsidP="00914A8E">
      <w:pPr>
        <w:rPr>
          <w:rFonts w:asciiTheme="minorHAnsi" w:hAnsiTheme="minorHAnsi" w:cstheme="minorHAnsi"/>
          <w:color w:val="FF0000"/>
          <w:sz w:val="20"/>
          <w:szCs w:val="20"/>
        </w:rPr>
      </w:pPr>
      <w:r w:rsidRPr="00540F1A">
        <w:rPr>
          <w:rFonts w:asciiTheme="minorHAnsi" w:hAnsiTheme="minorHAnsi" w:cstheme="minorHAnsi"/>
          <w:color w:val="FF0000"/>
          <w:sz w:val="20"/>
          <w:szCs w:val="20"/>
        </w:rPr>
        <w:t>Possible Pupil Progress Report Descriptors</w:t>
      </w:r>
    </w:p>
    <w:p w:rsidR="00824EEB" w:rsidRPr="00540F1A" w:rsidRDefault="00824EEB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Reads and comprehends literature (RL 2.1, 2.2, 2.3</w:t>
      </w:r>
      <w:r w:rsidR="00A3710D" w:rsidRPr="00540F1A">
        <w:rPr>
          <w:rFonts w:cstheme="minorHAnsi"/>
          <w:color w:val="FF0000"/>
          <w:sz w:val="20"/>
          <w:szCs w:val="20"/>
        </w:rPr>
        <w:t>, 2.4, 2.7</w:t>
      </w:r>
      <w:r w:rsidRPr="00540F1A">
        <w:rPr>
          <w:rFonts w:cstheme="minorHAnsi"/>
          <w:color w:val="FF0000"/>
          <w:sz w:val="20"/>
          <w:szCs w:val="20"/>
        </w:rPr>
        <w:t>)</w:t>
      </w:r>
    </w:p>
    <w:p w:rsidR="00824EEB" w:rsidRPr="00540F1A" w:rsidRDefault="00824EEB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Applies comprehension strategies  (RL 2.IA.1</w:t>
      </w:r>
      <w:r w:rsidR="00A3710D" w:rsidRPr="00540F1A">
        <w:rPr>
          <w:rFonts w:cstheme="minorHAnsi"/>
          <w:color w:val="FF0000"/>
          <w:sz w:val="20"/>
          <w:szCs w:val="20"/>
        </w:rPr>
        <w:t>, RI 2.IA.1</w:t>
      </w:r>
      <w:r w:rsidRPr="00540F1A">
        <w:rPr>
          <w:rFonts w:cstheme="minorHAnsi"/>
          <w:color w:val="FF0000"/>
          <w:sz w:val="20"/>
          <w:szCs w:val="20"/>
        </w:rPr>
        <w:t>)</w:t>
      </w:r>
    </w:p>
    <w:p w:rsidR="00824EEB" w:rsidRPr="00540F1A" w:rsidRDefault="00824EEB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Rete</w:t>
      </w:r>
      <w:r w:rsidR="009F21E8" w:rsidRPr="00540F1A">
        <w:rPr>
          <w:rFonts w:cstheme="minorHAnsi"/>
          <w:color w:val="FF0000"/>
          <w:sz w:val="20"/>
          <w:szCs w:val="20"/>
        </w:rPr>
        <w:t>lls a story using story elements (RL 2.5, 2.6)</w:t>
      </w:r>
    </w:p>
    <w:p w:rsidR="00A3710D" w:rsidRPr="00540F1A" w:rsidRDefault="00A3710D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Compare</w:t>
      </w:r>
      <w:r w:rsidR="00540F1A" w:rsidRPr="00540F1A">
        <w:rPr>
          <w:rFonts w:cstheme="minorHAnsi"/>
          <w:color w:val="FF0000"/>
          <w:sz w:val="20"/>
          <w:szCs w:val="20"/>
        </w:rPr>
        <w:t>s</w:t>
      </w:r>
      <w:r w:rsidRPr="00540F1A">
        <w:rPr>
          <w:rFonts w:cstheme="minorHAnsi"/>
          <w:color w:val="FF0000"/>
          <w:sz w:val="20"/>
          <w:szCs w:val="20"/>
        </w:rPr>
        <w:t xml:space="preserve"> and contrast</w:t>
      </w:r>
      <w:r w:rsidR="00540F1A" w:rsidRPr="00540F1A">
        <w:rPr>
          <w:rFonts w:cstheme="minorHAnsi"/>
          <w:color w:val="FF0000"/>
          <w:sz w:val="20"/>
          <w:szCs w:val="20"/>
        </w:rPr>
        <w:t>s</w:t>
      </w:r>
      <w:r w:rsidRPr="00540F1A">
        <w:rPr>
          <w:rFonts w:cstheme="minorHAnsi"/>
          <w:color w:val="FF0000"/>
          <w:sz w:val="20"/>
          <w:szCs w:val="20"/>
        </w:rPr>
        <w:t xml:space="preserve"> story versions (RL 2.9)</w:t>
      </w:r>
    </w:p>
    <w:p w:rsidR="00A3710D" w:rsidRPr="00540F1A" w:rsidRDefault="00A3710D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Reads and comprehends second grade level text (RL 2.10</w:t>
      </w:r>
      <w:r w:rsidR="00540F1A" w:rsidRPr="00540F1A">
        <w:rPr>
          <w:rFonts w:cstheme="minorHAnsi"/>
          <w:color w:val="FF0000"/>
          <w:sz w:val="20"/>
          <w:szCs w:val="20"/>
        </w:rPr>
        <w:t>, RI 2.10</w:t>
      </w:r>
      <w:r w:rsidRPr="00540F1A">
        <w:rPr>
          <w:rFonts w:cstheme="minorHAnsi"/>
          <w:color w:val="FF0000"/>
          <w:sz w:val="20"/>
          <w:szCs w:val="20"/>
        </w:rPr>
        <w:t>)</w:t>
      </w:r>
    </w:p>
    <w:p w:rsidR="00824EEB" w:rsidRPr="00540F1A" w:rsidRDefault="00824EEB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Reads and comprehends informational text</w:t>
      </w:r>
      <w:r w:rsidR="00A3710D" w:rsidRPr="00540F1A">
        <w:rPr>
          <w:rFonts w:cstheme="minorHAnsi"/>
          <w:color w:val="FF0000"/>
          <w:sz w:val="20"/>
          <w:szCs w:val="20"/>
        </w:rPr>
        <w:t xml:space="preserve"> (RI 2.1, 2.2, 2.3</w:t>
      </w:r>
      <w:r w:rsidR="00540F1A" w:rsidRPr="00540F1A">
        <w:rPr>
          <w:rFonts w:cstheme="minorHAnsi"/>
          <w:color w:val="FF0000"/>
          <w:sz w:val="20"/>
          <w:szCs w:val="20"/>
        </w:rPr>
        <w:t>, 2.5, 2.6, 2.7, 2.8</w:t>
      </w:r>
      <w:r w:rsidR="00A3710D" w:rsidRPr="00540F1A">
        <w:rPr>
          <w:rFonts w:cstheme="minorHAnsi"/>
          <w:color w:val="FF0000"/>
          <w:sz w:val="20"/>
          <w:szCs w:val="20"/>
        </w:rPr>
        <w:t>)</w:t>
      </w:r>
    </w:p>
    <w:p w:rsidR="00A3710D" w:rsidRPr="00540F1A" w:rsidRDefault="00A3710D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Determine</w:t>
      </w:r>
      <w:r w:rsidR="00540F1A" w:rsidRPr="00540F1A">
        <w:rPr>
          <w:rFonts w:cstheme="minorHAnsi"/>
          <w:color w:val="FF0000"/>
          <w:sz w:val="20"/>
          <w:szCs w:val="20"/>
        </w:rPr>
        <w:t>s</w:t>
      </w:r>
      <w:r w:rsidRPr="00540F1A">
        <w:rPr>
          <w:rFonts w:cstheme="minorHAnsi"/>
          <w:color w:val="FF0000"/>
          <w:sz w:val="20"/>
          <w:szCs w:val="20"/>
        </w:rPr>
        <w:t xml:space="preserve"> the meaning of unknown words</w:t>
      </w:r>
      <w:r w:rsidR="00540F1A" w:rsidRPr="00540F1A">
        <w:rPr>
          <w:rFonts w:cstheme="minorHAnsi"/>
          <w:color w:val="FF0000"/>
          <w:sz w:val="20"/>
          <w:szCs w:val="20"/>
        </w:rPr>
        <w:t xml:space="preserve"> (RI 2.4)</w:t>
      </w:r>
    </w:p>
    <w:p w:rsidR="00540F1A" w:rsidRPr="00540F1A" w:rsidRDefault="00540F1A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Compares and contrasts important points (RI 2.9)</w:t>
      </w:r>
    </w:p>
    <w:p w:rsidR="00540F1A" w:rsidRPr="00540F1A" w:rsidRDefault="00540F1A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Knows and applies grade-level word analysis skills (RFS 2.3)</w:t>
      </w:r>
    </w:p>
    <w:p w:rsidR="00540F1A" w:rsidRPr="00540F1A" w:rsidRDefault="00540F1A" w:rsidP="00824EEB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Reads grade-level text fluently (RFS 2.4)</w:t>
      </w:r>
    </w:p>
    <w:p w:rsidR="00540F1A" w:rsidRPr="00540F1A" w:rsidRDefault="00540F1A" w:rsidP="00540F1A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Demonstrates positive reading habits</w:t>
      </w:r>
    </w:p>
    <w:p w:rsidR="00540F1A" w:rsidRPr="00540F1A" w:rsidRDefault="00540F1A" w:rsidP="00540F1A">
      <w:pPr>
        <w:pStyle w:val="ListParagraph"/>
        <w:numPr>
          <w:ilvl w:val="0"/>
          <w:numId w:val="13"/>
        </w:numPr>
        <w:rPr>
          <w:rFonts w:cstheme="minorHAnsi"/>
          <w:color w:val="FF0000"/>
          <w:sz w:val="20"/>
          <w:szCs w:val="20"/>
        </w:rPr>
      </w:pPr>
      <w:r w:rsidRPr="00540F1A">
        <w:rPr>
          <w:rFonts w:cstheme="minorHAnsi"/>
          <w:color w:val="FF0000"/>
          <w:sz w:val="20"/>
          <w:szCs w:val="20"/>
        </w:rPr>
        <w:t>Current Reading Level</w:t>
      </w:r>
    </w:p>
    <w:sectPr w:rsidR="00540F1A" w:rsidRPr="00540F1A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105" w:rsidRDefault="00C75105" w:rsidP="00874AB2">
      <w:pPr>
        <w:spacing w:after="0" w:line="240" w:lineRule="auto"/>
      </w:pPr>
      <w:r>
        <w:separator/>
      </w:r>
    </w:p>
  </w:endnote>
  <w:endnote w:type="continuationSeparator" w:id="0">
    <w:p w:rsidR="00C75105" w:rsidRDefault="00C75105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105" w:rsidRDefault="00C75105" w:rsidP="00874AB2">
      <w:pPr>
        <w:spacing w:after="0" w:line="240" w:lineRule="auto"/>
      </w:pPr>
      <w:r>
        <w:separator/>
      </w:r>
    </w:p>
  </w:footnote>
  <w:footnote w:type="continuationSeparator" w:id="0">
    <w:p w:rsidR="00C75105" w:rsidRDefault="00C75105" w:rsidP="0087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5DE"/>
    <w:multiLevelType w:val="hybridMultilevel"/>
    <w:tmpl w:val="07EA20D2"/>
    <w:lvl w:ilvl="0" w:tplc="719E54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D4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1E3A46B3"/>
    <w:multiLevelType w:val="hybridMultilevel"/>
    <w:tmpl w:val="89ACF880"/>
    <w:lvl w:ilvl="0" w:tplc="B960518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D476C8"/>
    <w:multiLevelType w:val="hybridMultilevel"/>
    <w:tmpl w:val="75F82B84"/>
    <w:lvl w:ilvl="0" w:tplc="5238A27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B1058"/>
    <w:multiLevelType w:val="hybridMultilevel"/>
    <w:tmpl w:val="59BE6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64202"/>
    <w:multiLevelType w:val="hybridMultilevel"/>
    <w:tmpl w:val="30AEF942"/>
    <w:lvl w:ilvl="0" w:tplc="D20CD7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CA40DB"/>
    <w:multiLevelType w:val="hybridMultilevel"/>
    <w:tmpl w:val="93A6D5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1877E76"/>
    <w:multiLevelType w:val="multilevel"/>
    <w:tmpl w:val="EDEE7A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">
    <w:nsid w:val="5EDF5B79"/>
    <w:multiLevelType w:val="hybridMultilevel"/>
    <w:tmpl w:val="FAC6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1">
    <w:nsid w:val="73BD5D4B"/>
    <w:multiLevelType w:val="multilevel"/>
    <w:tmpl w:val="70D293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2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8E"/>
    <w:rsid w:val="00000A03"/>
    <w:rsid w:val="00012EFD"/>
    <w:rsid w:val="0002779E"/>
    <w:rsid w:val="0008317F"/>
    <w:rsid w:val="000C79BB"/>
    <w:rsid w:val="000E674E"/>
    <w:rsid w:val="000E7832"/>
    <w:rsid w:val="000F26F6"/>
    <w:rsid w:val="00101971"/>
    <w:rsid w:val="00127F34"/>
    <w:rsid w:val="00137275"/>
    <w:rsid w:val="0014600B"/>
    <w:rsid w:val="001527E8"/>
    <w:rsid w:val="001900C8"/>
    <w:rsid w:val="001C0AC3"/>
    <w:rsid w:val="001E7097"/>
    <w:rsid w:val="00203D4C"/>
    <w:rsid w:val="00242724"/>
    <w:rsid w:val="00280313"/>
    <w:rsid w:val="002812E7"/>
    <w:rsid w:val="002A1486"/>
    <w:rsid w:val="002B0F2B"/>
    <w:rsid w:val="002B51AA"/>
    <w:rsid w:val="002F49F8"/>
    <w:rsid w:val="003453D3"/>
    <w:rsid w:val="0035243E"/>
    <w:rsid w:val="00377D43"/>
    <w:rsid w:val="003C4191"/>
    <w:rsid w:val="003C7555"/>
    <w:rsid w:val="003D3ED6"/>
    <w:rsid w:val="003F0255"/>
    <w:rsid w:val="0044359F"/>
    <w:rsid w:val="00451F0D"/>
    <w:rsid w:val="00463527"/>
    <w:rsid w:val="00490A56"/>
    <w:rsid w:val="00496214"/>
    <w:rsid w:val="004D69F8"/>
    <w:rsid w:val="00513FF3"/>
    <w:rsid w:val="00515383"/>
    <w:rsid w:val="00540F1A"/>
    <w:rsid w:val="00560E7D"/>
    <w:rsid w:val="00580988"/>
    <w:rsid w:val="005A662D"/>
    <w:rsid w:val="005B581A"/>
    <w:rsid w:val="005D5241"/>
    <w:rsid w:val="00600461"/>
    <w:rsid w:val="00605BC7"/>
    <w:rsid w:val="00634268"/>
    <w:rsid w:val="00666E78"/>
    <w:rsid w:val="00674C50"/>
    <w:rsid w:val="00676B40"/>
    <w:rsid w:val="006A6397"/>
    <w:rsid w:val="006A730B"/>
    <w:rsid w:val="00706A0B"/>
    <w:rsid w:val="007305A5"/>
    <w:rsid w:val="0074126F"/>
    <w:rsid w:val="00754AE6"/>
    <w:rsid w:val="00780DE7"/>
    <w:rsid w:val="007B3C67"/>
    <w:rsid w:val="007C36C2"/>
    <w:rsid w:val="00814F53"/>
    <w:rsid w:val="00824EEB"/>
    <w:rsid w:val="0085162B"/>
    <w:rsid w:val="00874AB2"/>
    <w:rsid w:val="00885E28"/>
    <w:rsid w:val="008B20A9"/>
    <w:rsid w:val="008C372A"/>
    <w:rsid w:val="008C7DE6"/>
    <w:rsid w:val="008D0082"/>
    <w:rsid w:val="008D1006"/>
    <w:rsid w:val="008D75D3"/>
    <w:rsid w:val="00914A8E"/>
    <w:rsid w:val="00941422"/>
    <w:rsid w:val="00943D31"/>
    <w:rsid w:val="00950B90"/>
    <w:rsid w:val="00957D13"/>
    <w:rsid w:val="009D6EF8"/>
    <w:rsid w:val="009F21E8"/>
    <w:rsid w:val="009F3DC8"/>
    <w:rsid w:val="009F5DCA"/>
    <w:rsid w:val="00A3710D"/>
    <w:rsid w:val="00AC222F"/>
    <w:rsid w:val="00AE2FCA"/>
    <w:rsid w:val="00AF32D8"/>
    <w:rsid w:val="00AF719D"/>
    <w:rsid w:val="00B744E9"/>
    <w:rsid w:val="00BC70C5"/>
    <w:rsid w:val="00BD5195"/>
    <w:rsid w:val="00BE327B"/>
    <w:rsid w:val="00BE56D2"/>
    <w:rsid w:val="00BF3B9C"/>
    <w:rsid w:val="00C11117"/>
    <w:rsid w:val="00C11304"/>
    <w:rsid w:val="00C37442"/>
    <w:rsid w:val="00C75105"/>
    <w:rsid w:val="00C768BB"/>
    <w:rsid w:val="00C81240"/>
    <w:rsid w:val="00CA4571"/>
    <w:rsid w:val="00CE14FD"/>
    <w:rsid w:val="00CE57D6"/>
    <w:rsid w:val="00D36973"/>
    <w:rsid w:val="00D41025"/>
    <w:rsid w:val="00D57872"/>
    <w:rsid w:val="00D948A0"/>
    <w:rsid w:val="00DA3B46"/>
    <w:rsid w:val="00DB6E4F"/>
    <w:rsid w:val="00DD6DC8"/>
    <w:rsid w:val="00E058A5"/>
    <w:rsid w:val="00E07161"/>
    <w:rsid w:val="00E21181"/>
    <w:rsid w:val="00E377F8"/>
    <w:rsid w:val="00E4136A"/>
    <w:rsid w:val="00E72AA6"/>
    <w:rsid w:val="00E759B1"/>
    <w:rsid w:val="00E90C99"/>
    <w:rsid w:val="00E96987"/>
    <w:rsid w:val="00EE3D69"/>
    <w:rsid w:val="00EF2F6E"/>
    <w:rsid w:val="00EF68EC"/>
    <w:rsid w:val="00F16CEC"/>
    <w:rsid w:val="00F3419A"/>
    <w:rsid w:val="00F433FB"/>
    <w:rsid w:val="00F51918"/>
    <w:rsid w:val="00F606B1"/>
    <w:rsid w:val="00F80A40"/>
    <w:rsid w:val="00F8540C"/>
    <w:rsid w:val="00FF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E9698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37442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E9698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37442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Ann Orsini</cp:lastModifiedBy>
  <cp:revision>55</cp:revision>
  <dcterms:created xsi:type="dcterms:W3CDTF">2012-05-07T13:36:00Z</dcterms:created>
  <dcterms:modified xsi:type="dcterms:W3CDTF">2012-05-07T19:48:00Z</dcterms:modified>
</cp:coreProperties>
</file>